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2FB" w:rsidRPr="003B72FB" w:rsidRDefault="003B72FB">
      <w:pPr>
        <w:pStyle w:val="Standard"/>
        <w:shd w:val="clear" w:color="auto" w:fill="FFFFFF"/>
        <w:spacing w:before="240" w:after="240" w:line="312" w:lineRule="atLeast"/>
        <w:rPr>
          <w:rFonts w:eastAsia="Times New Roman"/>
          <w:b/>
          <w:bCs/>
          <w:color w:val="333333"/>
          <w:sz w:val="32"/>
          <w:szCs w:val="24"/>
          <w:lang w:eastAsia="en-GB"/>
        </w:rPr>
      </w:pPr>
      <w:r w:rsidRPr="003B72FB">
        <w:rPr>
          <w:rFonts w:eastAsia="Times New Roman"/>
          <w:b/>
          <w:bCs/>
          <w:color w:val="333333"/>
          <w:sz w:val="32"/>
          <w:szCs w:val="24"/>
          <w:lang w:eastAsia="en-GB"/>
        </w:rPr>
        <w:t>Hot Topic: Patient Flow</w:t>
      </w:r>
    </w:p>
    <w:p w:rsidR="00BF01DD" w:rsidRDefault="00C16728">
      <w:pPr>
        <w:pStyle w:val="Standard"/>
        <w:shd w:val="clear" w:color="auto" w:fill="FFFFFF"/>
        <w:spacing w:before="240" w:after="240" w:line="312" w:lineRule="atLeast"/>
        <w:rPr>
          <w:rFonts w:eastAsia="Times New Roman"/>
          <w:b/>
          <w:bCs/>
          <w:color w:val="333333"/>
          <w:sz w:val="24"/>
          <w:szCs w:val="24"/>
          <w:lang w:eastAsia="en-GB"/>
        </w:rPr>
      </w:pPr>
      <w:r>
        <w:rPr>
          <w:rFonts w:eastAsia="Times New Roman"/>
          <w:b/>
          <w:bCs/>
          <w:color w:val="333333"/>
          <w:sz w:val="24"/>
          <w:szCs w:val="24"/>
          <w:lang w:eastAsia="en-GB"/>
        </w:rPr>
        <w:t>Impact on library policy/practice:</w:t>
      </w:r>
    </w:p>
    <w:p w:rsidR="00BF01DD" w:rsidRDefault="00C16728" w:rsidP="003B72FB">
      <w:pPr>
        <w:pStyle w:val="Standard"/>
        <w:numPr>
          <w:ilvl w:val="0"/>
          <w:numId w:val="10"/>
        </w:numPr>
        <w:shd w:val="clear" w:color="auto" w:fill="FFFFFF"/>
        <w:spacing w:before="45" w:after="45" w:line="360" w:lineRule="atLeast"/>
        <w:rPr>
          <w:rFonts w:eastAsia="Times New Roman"/>
          <w:color w:val="333333"/>
          <w:sz w:val="24"/>
          <w:szCs w:val="24"/>
          <w:lang w:eastAsia="en-GB"/>
        </w:rPr>
      </w:pPr>
      <w:r>
        <w:rPr>
          <w:rFonts w:eastAsia="Times New Roman"/>
          <w:color w:val="333333"/>
          <w:sz w:val="24"/>
          <w:szCs w:val="24"/>
          <w:lang w:eastAsia="en-GB"/>
        </w:rPr>
        <w:t>Skilled librarians can locate the evidence</w:t>
      </w:r>
      <w:r>
        <w:rPr>
          <w:rFonts w:eastAsia="Times New Roman"/>
          <w:color w:val="333333"/>
          <w:sz w:val="24"/>
          <w:szCs w:val="24"/>
          <w:lang w:eastAsia="en-GB"/>
        </w:rPr>
        <w:t xml:space="preserve"> for different approaches to patient flow. The evidence may not always be accessible through bibliographic databases, but librarians have the skill to locate other sources of evidence such as case studies or reports</w:t>
      </w:r>
    </w:p>
    <w:p w:rsidR="00BF01DD" w:rsidRDefault="00C16728" w:rsidP="003B72FB">
      <w:pPr>
        <w:pStyle w:val="Standard"/>
        <w:numPr>
          <w:ilvl w:val="0"/>
          <w:numId w:val="10"/>
        </w:numPr>
        <w:shd w:val="clear" w:color="auto" w:fill="FFFFFF"/>
        <w:spacing w:before="45" w:after="45" w:line="360" w:lineRule="atLeast"/>
        <w:rPr>
          <w:rFonts w:eastAsia="Times New Roman"/>
          <w:color w:val="333333"/>
          <w:sz w:val="24"/>
          <w:szCs w:val="24"/>
          <w:lang w:eastAsia="en-GB"/>
        </w:rPr>
      </w:pPr>
      <w:r>
        <w:rPr>
          <w:rFonts w:eastAsia="Times New Roman"/>
          <w:color w:val="333333"/>
          <w:sz w:val="24"/>
          <w:szCs w:val="24"/>
          <w:lang w:eastAsia="en-GB"/>
        </w:rPr>
        <w:t>Library staff can support the publicatio</w:t>
      </w:r>
      <w:r>
        <w:rPr>
          <w:rFonts w:eastAsia="Times New Roman"/>
          <w:color w:val="333333"/>
          <w:sz w:val="24"/>
          <w:szCs w:val="24"/>
          <w:lang w:eastAsia="en-GB"/>
        </w:rPr>
        <w:t>n and sharing of patient flow initiatives, either as published documents or as poster presentations</w:t>
      </w:r>
    </w:p>
    <w:p w:rsidR="00BF01DD" w:rsidRDefault="00C16728" w:rsidP="00351E18">
      <w:pPr>
        <w:pStyle w:val="Standard"/>
        <w:numPr>
          <w:ilvl w:val="0"/>
          <w:numId w:val="10"/>
        </w:numPr>
        <w:shd w:val="clear" w:color="auto" w:fill="FFFFFF"/>
        <w:spacing w:before="45" w:after="45" w:line="360" w:lineRule="atLeast"/>
        <w:rPr>
          <w:rFonts w:eastAsia="Times New Roman"/>
          <w:color w:val="333333"/>
          <w:sz w:val="24"/>
          <w:szCs w:val="24"/>
          <w:lang w:eastAsia="en-GB"/>
        </w:rPr>
      </w:pPr>
      <w:r w:rsidRPr="00351E18">
        <w:rPr>
          <w:rFonts w:eastAsia="Times New Roman"/>
          <w:color w:val="333333"/>
          <w:sz w:val="24"/>
          <w:szCs w:val="24"/>
          <w:lang w:eastAsia="en-GB"/>
        </w:rPr>
        <w:t xml:space="preserve">Library services can provide point of care information tools that can speed up the diagnosis and treatment of patients, and that can support junior medical </w:t>
      </w:r>
      <w:r w:rsidRPr="00351E18">
        <w:rPr>
          <w:rFonts w:eastAsia="Times New Roman"/>
          <w:color w:val="333333"/>
          <w:sz w:val="24"/>
          <w:szCs w:val="24"/>
          <w:lang w:eastAsia="en-GB"/>
        </w:rPr>
        <w:t>staff to make decisions when there are fewer senior staff available</w:t>
      </w:r>
    </w:p>
    <w:p w:rsidR="00351E18" w:rsidRPr="00351E18" w:rsidRDefault="00351E18" w:rsidP="00351E18">
      <w:pPr>
        <w:pStyle w:val="Standard"/>
        <w:shd w:val="clear" w:color="auto" w:fill="FFFFFF"/>
        <w:spacing w:before="45" w:after="45" w:line="360" w:lineRule="atLeast"/>
        <w:ind w:left="360"/>
        <w:rPr>
          <w:rFonts w:eastAsia="Times New Roman"/>
          <w:color w:val="333333"/>
          <w:sz w:val="24"/>
          <w:szCs w:val="24"/>
          <w:lang w:eastAsia="en-GB"/>
        </w:rPr>
      </w:pPr>
    </w:p>
    <w:p w:rsidR="00BF01DD" w:rsidRDefault="00C16728">
      <w:pPr>
        <w:pStyle w:val="Standard"/>
        <w:shd w:val="clear" w:color="auto" w:fill="FFFFFF"/>
        <w:spacing w:before="45" w:after="45" w:line="360" w:lineRule="atLeast"/>
        <w:rPr>
          <w:rFonts w:eastAsia="Times New Roman"/>
          <w:b/>
          <w:bCs/>
          <w:color w:val="333333"/>
          <w:sz w:val="24"/>
          <w:szCs w:val="24"/>
          <w:lang w:eastAsia="en-GB"/>
        </w:rPr>
      </w:pPr>
      <w:r>
        <w:rPr>
          <w:rFonts w:eastAsia="Times New Roman"/>
          <w:b/>
          <w:bCs/>
          <w:color w:val="333333"/>
          <w:sz w:val="24"/>
          <w:szCs w:val="24"/>
          <w:lang w:eastAsia="en-GB"/>
        </w:rPr>
        <w:t>What does ‘patient flow’ mean?</w:t>
      </w:r>
    </w:p>
    <w:p w:rsidR="00BF01DD" w:rsidRDefault="00C16728">
      <w:pPr>
        <w:pStyle w:val="Standard"/>
        <w:shd w:val="clear" w:color="auto" w:fill="FFFFFF"/>
        <w:spacing w:before="240" w:after="240" w:line="312" w:lineRule="atLeast"/>
        <w:rPr>
          <w:rFonts w:eastAsia="Times New Roman"/>
          <w:color w:val="333333"/>
          <w:sz w:val="24"/>
          <w:szCs w:val="24"/>
          <w:lang w:eastAsia="en-GB"/>
        </w:rPr>
      </w:pPr>
      <w:r>
        <w:rPr>
          <w:rFonts w:eastAsia="Times New Roman"/>
          <w:color w:val="333333"/>
          <w:sz w:val="24"/>
          <w:szCs w:val="24"/>
          <w:lang w:eastAsia="en-GB"/>
        </w:rPr>
        <w:t>Patient flow is about the avoidance of delays in transfers of care, from for instance hospital to home or from A&amp;E to a ward. It can also encompass admissio</w:t>
      </w:r>
      <w:r>
        <w:rPr>
          <w:rFonts w:eastAsia="Times New Roman"/>
          <w:color w:val="333333"/>
          <w:sz w:val="24"/>
          <w:szCs w:val="24"/>
          <w:lang w:eastAsia="en-GB"/>
        </w:rPr>
        <w:t>n avoidance, but this will be looked at in a separate Hot Topic.</w:t>
      </w:r>
    </w:p>
    <w:p w:rsidR="00BF01DD" w:rsidRPr="00351E18" w:rsidRDefault="00C16728">
      <w:pPr>
        <w:pStyle w:val="Standard"/>
        <w:shd w:val="clear" w:color="auto" w:fill="FFFFFF"/>
        <w:spacing w:before="240" w:after="240" w:line="312" w:lineRule="atLeast"/>
        <w:rPr>
          <w:rFonts w:eastAsia="Times New Roman"/>
          <w:color w:val="333333"/>
          <w:sz w:val="24"/>
          <w:szCs w:val="24"/>
          <w:lang w:eastAsia="en-GB"/>
        </w:rPr>
      </w:pPr>
      <w:r>
        <w:rPr>
          <w:rFonts w:eastAsia="Times New Roman"/>
          <w:color w:val="333333"/>
          <w:sz w:val="24"/>
          <w:szCs w:val="24"/>
          <w:lang w:eastAsia="en-GB"/>
        </w:rPr>
        <w:t xml:space="preserve">One definition is </w:t>
      </w:r>
      <w:r>
        <w:rPr>
          <w:rFonts w:eastAsia="Times New Roman"/>
          <w:color w:val="333333"/>
          <w:sz w:val="24"/>
          <w:szCs w:val="24"/>
          <w:lang w:eastAsia="en-GB"/>
        </w:rPr>
        <w:t>'</w:t>
      </w:r>
      <w:r w:rsidRPr="00351E18">
        <w:rPr>
          <w:rFonts w:eastAsia="Times New Roman"/>
          <w:color w:val="333333"/>
          <w:sz w:val="24"/>
          <w:szCs w:val="24"/>
          <w:lang w:eastAsia="en-GB"/>
        </w:rPr>
        <w:t>the right care, in the right place, at the right time'.</w:t>
      </w:r>
    </w:p>
    <w:p w:rsidR="00BF01DD" w:rsidRDefault="00C16728">
      <w:pPr>
        <w:pStyle w:val="Standard"/>
        <w:shd w:val="clear" w:color="auto" w:fill="FFFFFF"/>
        <w:spacing w:before="240" w:after="240" w:line="312" w:lineRule="atLeast"/>
        <w:rPr>
          <w:rFonts w:eastAsia="Times New Roman"/>
          <w:b/>
          <w:color w:val="333333"/>
          <w:sz w:val="24"/>
          <w:szCs w:val="24"/>
          <w:lang w:eastAsia="en-GB"/>
        </w:rPr>
      </w:pPr>
      <w:r>
        <w:rPr>
          <w:rFonts w:eastAsia="Times New Roman"/>
          <w:b/>
          <w:color w:val="333333"/>
          <w:sz w:val="24"/>
          <w:szCs w:val="24"/>
          <w:lang w:eastAsia="en-GB"/>
        </w:rPr>
        <w:t>Why has patient flow become a hot topic?</w:t>
      </w:r>
    </w:p>
    <w:p w:rsidR="00BF01DD" w:rsidRDefault="00C16728">
      <w:pPr>
        <w:pStyle w:val="Standard"/>
        <w:shd w:val="clear" w:color="auto" w:fill="FFFFFF"/>
        <w:spacing w:before="240" w:after="240" w:line="312" w:lineRule="atLeast"/>
        <w:rPr>
          <w:rFonts w:eastAsia="Times New Roman"/>
          <w:color w:val="333333"/>
          <w:sz w:val="24"/>
          <w:szCs w:val="24"/>
          <w:lang w:eastAsia="en-GB"/>
        </w:rPr>
      </w:pPr>
      <w:r>
        <w:rPr>
          <w:rFonts w:eastAsia="Times New Roman"/>
          <w:color w:val="333333"/>
          <w:sz w:val="24"/>
          <w:szCs w:val="24"/>
          <w:lang w:eastAsia="en-GB"/>
        </w:rPr>
        <w:t xml:space="preserve">The majority of delayed transfers are still due to NHS delays (such as </w:t>
      </w:r>
      <w:r>
        <w:rPr>
          <w:rFonts w:eastAsia="Times New Roman"/>
          <w:color w:val="333333"/>
          <w:sz w:val="24"/>
          <w:szCs w:val="24"/>
          <w:lang w:eastAsia="en-GB"/>
        </w:rPr>
        <w:t>awaiting further non-acute NHS care) but the proportion due to social care (such as awaiting a care package in own home) has risen steeply since 2014. In October 2017 there were 170,100 total delayed bed days (3)</w:t>
      </w:r>
    </w:p>
    <w:p w:rsidR="00BF01DD" w:rsidRDefault="00C16728">
      <w:pPr>
        <w:pStyle w:val="Standard"/>
        <w:shd w:val="clear" w:color="auto" w:fill="FFFFFF"/>
        <w:spacing w:before="240" w:after="240" w:line="312" w:lineRule="atLeast"/>
        <w:rPr>
          <w:rFonts w:eastAsia="Times New Roman"/>
          <w:color w:val="333333"/>
          <w:sz w:val="24"/>
          <w:szCs w:val="24"/>
          <w:lang w:eastAsia="en-GB"/>
        </w:rPr>
      </w:pPr>
      <w:r>
        <w:rPr>
          <w:rFonts w:eastAsia="Times New Roman"/>
          <w:color w:val="333333"/>
          <w:sz w:val="24"/>
          <w:szCs w:val="24"/>
          <w:lang w:eastAsia="en-GB"/>
        </w:rPr>
        <w:t>An audit by NHS Benchmarking showed that wh</w:t>
      </w:r>
      <w:r>
        <w:rPr>
          <w:rFonts w:eastAsia="Times New Roman"/>
          <w:color w:val="333333"/>
          <w:sz w:val="24"/>
          <w:szCs w:val="24"/>
          <w:lang w:eastAsia="en-GB"/>
        </w:rPr>
        <w:t>ile only 5 per cent of people aged over 65 who are admitted to hospital stay for more than 21 days, that 5 per cent accounts for more than 40 per cent of all bed days (1). Longer stays in hospital are associated with increased risk of infection, low mood a</w:t>
      </w:r>
      <w:r>
        <w:rPr>
          <w:rFonts w:eastAsia="Times New Roman"/>
          <w:color w:val="333333"/>
          <w:sz w:val="24"/>
          <w:szCs w:val="24"/>
          <w:lang w:eastAsia="en-GB"/>
        </w:rPr>
        <w:t xml:space="preserve">nd reduced motivation, which can affect a patient’s health after they’ve been discharged and increase their </w:t>
      </w:r>
      <w:proofErr w:type="gramStart"/>
      <w:r>
        <w:rPr>
          <w:rFonts w:eastAsia="Times New Roman"/>
          <w:color w:val="333333"/>
          <w:sz w:val="24"/>
          <w:szCs w:val="24"/>
          <w:lang w:eastAsia="en-GB"/>
        </w:rPr>
        <w:t>chances</w:t>
      </w:r>
      <w:proofErr w:type="gramEnd"/>
      <w:r>
        <w:rPr>
          <w:rFonts w:eastAsia="Times New Roman"/>
          <w:color w:val="333333"/>
          <w:sz w:val="24"/>
          <w:szCs w:val="24"/>
          <w:lang w:eastAsia="en-GB"/>
        </w:rPr>
        <w:t xml:space="preserve"> of readmission to hospital (3).</w:t>
      </w:r>
    </w:p>
    <w:p w:rsidR="00BF01DD" w:rsidRDefault="00C16728">
      <w:pPr>
        <w:pStyle w:val="Standard"/>
        <w:shd w:val="clear" w:color="auto" w:fill="FFFFFF"/>
        <w:spacing w:before="240" w:after="240" w:line="312" w:lineRule="atLeast"/>
        <w:rPr>
          <w:rFonts w:eastAsia="Times New Roman"/>
          <w:color w:val="333333"/>
          <w:sz w:val="24"/>
          <w:szCs w:val="24"/>
          <w:lang w:eastAsia="en-GB"/>
        </w:rPr>
      </w:pPr>
      <w:r>
        <w:rPr>
          <w:rFonts w:eastAsia="Times New Roman"/>
          <w:color w:val="333333"/>
          <w:sz w:val="24"/>
          <w:szCs w:val="24"/>
          <w:lang w:eastAsia="en-GB"/>
        </w:rPr>
        <w:t xml:space="preserve">When bed occupancy is higher than recommended, it can lead to difficulties finding beds for new admissions, </w:t>
      </w:r>
      <w:r>
        <w:rPr>
          <w:rFonts w:eastAsia="Times New Roman"/>
          <w:color w:val="333333"/>
          <w:sz w:val="24"/>
          <w:szCs w:val="24"/>
          <w:lang w:eastAsia="en-GB"/>
        </w:rPr>
        <w:t>with knock-on effects in other departments such as A&amp;E.</w:t>
      </w:r>
      <w:r w:rsidR="00351E18">
        <w:rPr>
          <w:rFonts w:eastAsia="Times New Roman"/>
          <w:color w:val="333333"/>
          <w:sz w:val="24"/>
          <w:szCs w:val="24"/>
          <w:lang w:eastAsia="en-GB"/>
        </w:rPr>
        <w:t xml:space="preserve"> </w:t>
      </w:r>
      <w:r>
        <w:rPr>
          <w:rFonts w:eastAsia="Times New Roman"/>
          <w:color w:val="333333"/>
          <w:sz w:val="24"/>
          <w:szCs w:val="24"/>
          <w:lang w:eastAsia="en-GB"/>
        </w:rPr>
        <w:t>(4)</w:t>
      </w:r>
    </w:p>
    <w:p w:rsidR="00BF01DD" w:rsidRDefault="00C16728">
      <w:pPr>
        <w:pStyle w:val="Standard"/>
        <w:shd w:val="clear" w:color="auto" w:fill="FFFFFF"/>
        <w:spacing w:before="240" w:after="240" w:line="312" w:lineRule="atLeast"/>
        <w:rPr>
          <w:rFonts w:eastAsia="Times New Roman"/>
          <w:color w:val="333333"/>
          <w:sz w:val="24"/>
          <w:szCs w:val="24"/>
          <w:lang w:eastAsia="en-GB"/>
        </w:rPr>
      </w:pPr>
      <w:r>
        <w:rPr>
          <w:rFonts w:eastAsia="Times New Roman"/>
          <w:color w:val="333333"/>
          <w:sz w:val="24"/>
          <w:szCs w:val="24"/>
          <w:lang w:eastAsia="en-GB"/>
        </w:rPr>
        <w:t>There is also an argument that due to the way the figures for delayed transfers are defined, there are many more cases of patients that could be cared for in other settings, such as forms of interm</w:t>
      </w:r>
      <w:r>
        <w:rPr>
          <w:rFonts w:eastAsia="Times New Roman"/>
          <w:color w:val="333333"/>
          <w:sz w:val="24"/>
          <w:szCs w:val="24"/>
          <w:lang w:eastAsia="en-GB"/>
        </w:rPr>
        <w:t>ediate care. (4)</w:t>
      </w:r>
    </w:p>
    <w:p w:rsidR="00BF01DD" w:rsidRDefault="00C16728">
      <w:pPr>
        <w:pStyle w:val="Standard"/>
        <w:shd w:val="clear" w:color="auto" w:fill="FFFFFF"/>
        <w:spacing w:before="240" w:after="240" w:line="312" w:lineRule="atLeast"/>
        <w:rPr>
          <w:rFonts w:eastAsia="Times New Roman"/>
          <w:b/>
          <w:color w:val="333333"/>
          <w:sz w:val="24"/>
          <w:szCs w:val="24"/>
          <w:lang w:eastAsia="en-GB"/>
        </w:rPr>
      </w:pPr>
      <w:r>
        <w:rPr>
          <w:rFonts w:eastAsia="Times New Roman"/>
          <w:b/>
          <w:color w:val="333333"/>
          <w:sz w:val="24"/>
          <w:szCs w:val="24"/>
          <w:lang w:eastAsia="en-GB"/>
        </w:rPr>
        <w:t>What are the consequences of poor patient flow?</w:t>
      </w:r>
    </w:p>
    <w:p w:rsidR="00BF01DD" w:rsidRDefault="00351E18">
      <w:pPr>
        <w:pStyle w:val="Standard"/>
        <w:shd w:val="clear" w:color="auto" w:fill="FFFFFF"/>
        <w:spacing w:before="240" w:after="240" w:line="312" w:lineRule="atLeast"/>
        <w:rPr>
          <w:rFonts w:eastAsia="Times New Roman"/>
          <w:color w:val="333333"/>
          <w:sz w:val="24"/>
          <w:szCs w:val="24"/>
          <w:lang w:eastAsia="en-GB"/>
        </w:rPr>
      </w:pPr>
      <w:r>
        <w:rPr>
          <w:rFonts w:eastAsia="Times New Roman"/>
          <w:color w:val="333333"/>
          <w:sz w:val="24"/>
          <w:szCs w:val="24"/>
          <w:lang w:eastAsia="en-GB"/>
        </w:rPr>
        <w:t xml:space="preserve">Some of the consequences </w:t>
      </w:r>
      <w:r w:rsidR="00C16728">
        <w:rPr>
          <w:rFonts w:eastAsia="Times New Roman"/>
          <w:color w:val="333333"/>
          <w:sz w:val="24"/>
          <w:szCs w:val="24"/>
          <w:lang w:eastAsia="en-GB"/>
        </w:rPr>
        <w:t>(2) are:</w:t>
      </w:r>
    </w:p>
    <w:p w:rsidR="00BF01DD" w:rsidRDefault="00C16728" w:rsidP="00351E18">
      <w:pPr>
        <w:pStyle w:val="ListParagraph"/>
        <w:numPr>
          <w:ilvl w:val="0"/>
          <w:numId w:val="12"/>
        </w:numPr>
        <w:shd w:val="clear" w:color="auto" w:fill="FFFFFF"/>
        <w:spacing w:before="240" w:after="240" w:line="312" w:lineRule="atLeast"/>
        <w:rPr>
          <w:rFonts w:eastAsia="Times New Roman"/>
          <w:color w:val="333333"/>
          <w:sz w:val="24"/>
          <w:szCs w:val="24"/>
          <w:lang w:eastAsia="en-GB"/>
        </w:rPr>
      </w:pPr>
      <w:r>
        <w:rPr>
          <w:rFonts w:eastAsia="Times New Roman"/>
          <w:color w:val="333333"/>
          <w:sz w:val="24"/>
          <w:szCs w:val="24"/>
          <w:lang w:eastAsia="en-GB"/>
        </w:rPr>
        <w:t>A&amp;E departments become crowded, stressful and unsafe</w:t>
      </w:r>
    </w:p>
    <w:p w:rsidR="00BF01DD" w:rsidRDefault="00C16728" w:rsidP="00351E18">
      <w:pPr>
        <w:pStyle w:val="ListParagraph"/>
        <w:numPr>
          <w:ilvl w:val="0"/>
          <w:numId w:val="12"/>
        </w:numPr>
        <w:shd w:val="clear" w:color="auto" w:fill="FFFFFF"/>
        <w:spacing w:before="240" w:after="240" w:line="312" w:lineRule="atLeast"/>
        <w:rPr>
          <w:rFonts w:eastAsia="Times New Roman"/>
          <w:color w:val="333333"/>
          <w:sz w:val="24"/>
          <w:szCs w:val="24"/>
          <w:lang w:eastAsia="en-GB"/>
        </w:rPr>
      </w:pPr>
      <w:r>
        <w:rPr>
          <w:rFonts w:eastAsia="Times New Roman"/>
          <w:color w:val="333333"/>
          <w:sz w:val="24"/>
          <w:szCs w:val="24"/>
          <w:lang w:eastAsia="en-GB"/>
        </w:rPr>
        <w:t>Patients are admitted as ‘outliers’ to wards that are not best suited to manage their care, which may me</w:t>
      </w:r>
      <w:r>
        <w:rPr>
          <w:rFonts w:eastAsia="Times New Roman"/>
          <w:color w:val="333333"/>
          <w:sz w:val="24"/>
          <w:szCs w:val="24"/>
          <w:lang w:eastAsia="en-GB"/>
        </w:rPr>
        <w:t>an they have worse clinical outcomes</w:t>
      </w:r>
    </w:p>
    <w:p w:rsidR="00BF01DD" w:rsidRDefault="00C16728" w:rsidP="00351E18">
      <w:pPr>
        <w:pStyle w:val="ListParagraph"/>
        <w:numPr>
          <w:ilvl w:val="0"/>
          <w:numId w:val="12"/>
        </w:numPr>
        <w:shd w:val="clear" w:color="auto" w:fill="FFFFFF"/>
        <w:spacing w:before="240" w:after="240" w:line="312" w:lineRule="atLeast"/>
        <w:rPr>
          <w:rFonts w:eastAsia="Times New Roman"/>
          <w:color w:val="333333"/>
          <w:sz w:val="24"/>
          <w:szCs w:val="24"/>
          <w:lang w:eastAsia="en-GB"/>
        </w:rPr>
      </w:pPr>
      <w:r>
        <w:rPr>
          <w:rFonts w:eastAsia="Times New Roman"/>
          <w:color w:val="333333"/>
          <w:sz w:val="24"/>
          <w:szCs w:val="24"/>
          <w:lang w:eastAsia="en-GB"/>
        </w:rPr>
        <w:lastRenderedPageBreak/>
        <w:t>Ambulatory care services, clinical decision units, even catheter labs and endoscopy units may fill with patients waiting for ward admission</w:t>
      </w:r>
    </w:p>
    <w:p w:rsidR="00BF01DD" w:rsidRDefault="00C16728" w:rsidP="00351E18">
      <w:pPr>
        <w:pStyle w:val="ListParagraph"/>
        <w:numPr>
          <w:ilvl w:val="0"/>
          <w:numId w:val="12"/>
        </w:numPr>
        <w:shd w:val="clear" w:color="auto" w:fill="FFFFFF"/>
        <w:spacing w:before="240" w:after="240" w:line="312" w:lineRule="atLeast"/>
        <w:rPr>
          <w:rFonts w:eastAsia="Times New Roman"/>
          <w:color w:val="333333"/>
          <w:sz w:val="24"/>
          <w:szCs w:val="24"/>
          <w:lang w:eastAsia="en-GB"/>
        </w:rPr>
      </w:pPr>
      <w:r>
        <w:rPr>
          <w:rFonts w:eastAsia="Times New Roman"/>
          <w:color w:val="333333"/>
          <w:sz w:val="24"/>
          <w:szCs w:val="24"/>
          <w:lang w:eastAsia="en-GB"/>
        </w:rPr>
        <w:t>Inpatients are shuffled between wards to make room for newcomers</w:t>
      </w:r>
    </w:p>
    <w:p w:rsidR="00BF01DD" w:rsidRDefault="00C16728" w:rsidP="00351E18">
      <w:pPr>
        <w:pStyle w:val="ListParagraph"/>
        <w:numPr>
          <w:ilvl w:val="0"/>
          <w:numId w:val="12"/>
        </w:numPr>
        <w:shd w:val="clear" w:color="auto" w:fill="FFFFFF"/>
        <w:spacing w:before="240" w:after="240" w:line="312" w:lineRule="atLeast"/>
        <w:rPr>
          <w:rFonts w:eastAsia="Times New Roman"/>
          <w:color w:val="333333"/>
          <w:sz w:val="24"/>
          <w:szCs w:val="24"/>
          <w:lang w:eastAsia="en-GB"/>
        </w:rPr>
      </w:pPr>
      <w:r>
        <w:rPr>
          <w:rFonts w:eastAsia="Times New Roman"/>
          <w:color w:val="333333"/>
          <w:sz w:val="24"/>
          <w:szCs w:val="24"/>
          <w:lang w:eastAsia="en-GB"/>
        </w:rPr>
        <w:t>Clinical outco</w:t>
      </w:r>
      <w:r>
        <w:rPr>
          <w:rFonts w:eastAsia="Times New Roman"/>
          <w:color w:val="333333"/>
          <w:sz w:val="24"/>
          <w:szCs w:val="24"/>
          <w:lang w:eastAsia="en-GB"/>
        </w:rPr>
        <w:t>mes are measurably worse, particularly for frail older people, who suffer more harm events and may lose muscle tone due to extended periods in hospital beds</w:t>
      </w:r>
    </w:p>
    <w:p w:rsidR="00BF01DD" w:rsidRDefault="00C16728">
      <w:pPr>
        <w:pStyle w:val="Standard"/>
        <w:shd w:val="clear" w:color="auto" w:fill="FFFFFF"/>
        <w:spacing w:before="240" w:after="240" w:line="312" w:lineRule="atLeast"/>
        <w:rPr>
          <w:rFonts w:eastAsia="Times New Roman"/>
          <w:b/>
          <w:color w:val="333333"/>
          <w:sz w:val="24"/>
          <w:szCs w:val="24"/>
          <w:lang w:eastAsia="en-GB"/>
        </w:rPr>
      </w:pPr>
      <w:r>
        <w:rPr>
          <w:rFonts w:eastAsia="Times New Roman"/>
          <w:b/>
          <w:color w:val="333333"/>
          <w:sz w:val="24"/>
          <w:szCs w:val="24"/>
          <w:lang w:eastAsia="en-GB"/>
        </w:rPr>
        <w:t>What is being done to improve patient flow?</w:t>
      </w:r>
    </w:p>
    <w:p w:rsidR="00BF01DD" w:rsidRPr="00351E18" w:rsidRDefault="00C16728">
      <w:pPr>
        <w:pStyle w:val="Standard"/>
        <w:shd w:val="clear" w:color="auto" w:fill="FFFFFF"/>
        <w:spacing w:before="240" w:after="240" w:line="312" w:lineRule="atLeast"/>
        <w:rPr>
          <w:rFonts w:eastAsia="Times New Roman"/>
          <w:color w:val="333333"/>
          <w:sz w:val="24"/>
          <w:szCs w:val="24"/>
          <w:lang w:eastAsia="en-GB"/>
        </w:rPr>
      </w:pPr>
      <w:r>
        <w:rPr>
          <w:rFonts w:eastAsia="Times New Roman"/>
          <w:color w:val="333333"/>
          <w:sz w:val="24"/>
          <w:szCs w:val="24"/>
          <w:lang w:eastAsia="en-GB"/>
        </w:rPr>
        <w:t xml:space="preserve">Three </w:t>
      </w:r>
      <w:r w:rsidRPr="00351E18">
        <w:rPr>
          <w:rFonts w:eastAsia="Times New Roman"/>
          <w:color w:val="333333"/>
          <w:sz w:val="24"/>
          <w:szCs w:val="24"/>
          <w:lang w:eastAsia="en-GB"/>
        </w:rPr>
        <w:t>approaches for improving flow are: shape or redu</w:t>
      </w:r>
      <w:r w:rsidRPr="00351E18">
        <w:rPr>
          <w:rFonts w:eastAsia="Times New Roman"/>
          <w:color w:val="333333"/>
          <w:sz w:val="24"/>
          <w:szCs w:val="24"/>
          <w:lang w:eastAsia="en-GB"/>
        </w:rPr>
        <w:t xml:space="preserve">ce demand, match capacity and demand, and redesign the system. </w:t>
      </w:r>
      <w:r>
        <w:rPr>
          <w:rFonts w:eastAsia="Times New Roman"/>
          <w:color w:val="333333"/>
          <w:sz w:val="24"/>
          <w:szCs w:val="24"/>
          <w:lang w:eastAsia="en-GB"/>
        </w:rPr>
        <w:t xml:space="preserve"> </w:t>
      </w:r>
    </w:p>
    <w:p w:rsidR="00BF01DD" w:rsidRPr="00351E18" w:rsidRDefault="00C16728">
      <w:pPr>
        <w:pStyle w:val="Standard"/>
        <w:shd w:val="clear" w:color="auto" w:fill="FFFFFF"/>
        <w:spacing w:before="240" w:after="240" w:line="312" w:lineRule="atLeast"/>
        <w:rPr>
          <w:rFonts w:eastAsia="Times New Roman"/>
          <w:color w:val="333333"/>
          <w:sz w:val="24"/>
          <w:szCs w:val="24"/>
          <w:lang w:eastAsia="en-GB"/>
        </w:rPr>
      </w:pPr>
      <w:r>
        <w:rPr>
          <w:rFonts w:eastAsia="Times New Roman"/>
          <w:color w:val="333333"/>
          <w:sz w:val="24"/>
          <w:szCs w:val="24"/>
          <w:lang w:eastAsia="en-GB"/>
        </w:rPr>
        <w:t xml:space="preserve">There are lots of potential ways to improve patients flow that follow one of more of three </w:t>
      </w:r>
      <w:proofErr w:type="spellStart"/>
      <w:r>
        <w:rPr>
          <w:rFonts w:eastAsia="Times New Roman"/>
          <w:color w:val="333333"/>
          <w:sz w:val="24"/>
          <w:szCs w:val="24"/>
          <w:lang w:eastAsia="en-GB"/>
        </w:rPr>
        <w:t>aproaches</w:t>
      </w:r>
      <w:proofErr w:type="spellEnd"/>
      <w:r>
        <w:rPr>
          <w:rFonts w:eastAsia="Times New Roman"/>
          <w:color w:val="333333"/>
          <w:sz w:val="24"/>
          <w:szCs w:val="24"/>
          <w:lang w:eastAsia="en-GB"/>
        </w:rPr>
        <w:t xml:space="preserve">, with one of the ideas being tried that of </w:t>
      </w:r>
      <w:hyperlink r:id="rId8" w:history="1">
        <w:r w:rsidRPr="00C16728">
          <w:rPr>
            <w:rStyle w:val="Hyperlink"/>
            <w:bCs/>
            <w:sz w:val="24"/>
          </w:rPr>
          <w:t>Accountable Care Organisations</w:t>
        </w:r>
      </w:hyperlink>
      <w:r>
        <w:rPr>
          <w:rFonts w:eastAsia="Times New Roman"/>
          <w:color w:val="333333"/>
          <w:sz w:val="24"/>
          <w:szCs w:val="24"/>
          <w:lang w:eastAsia="en-GB"/>
        </w:rPr>
        <w:t xml:space="preserve"> which bring health and social care providers together to take responsibility for the care for a defined population.</w:t>
      </w:r>
    </w:p>
    <w:p w:rsidR="00BF01DD" w:rsidRDefault="00C16728">
      <w:pPr>
        <w:pStyle w:val="Standard"/>
        <w:shd w:val="clear" w:color="auto" w:fill="FFFFFF"/>
        <w:spacing w:before="240" w:after="240" w:line="312" w:lineRule="atLeast"/>
        <w:rPr>
          <w:rFonts w:eastAsia="Times New Roman"/>
          <w:color w:val="333333"/>
          <w:sz w:val="24"/>
          <w:szCs w:val="24"/>
          <w:lang w:eastAsia="en-GB"/>
        </w:rPr>
      </w:pPr>
      <w:r>
        <w:rPr>
          <w:rFonts w:eastAsia="Times New Roman"/>
          <w:color w:val="333333"/>
          <w:sz w:val="24"/>
          <w:szCs w:val="24"/>
          <w:lang w:eastAsia="en-GB"/>
        </w:rPr>
        <w:t>Other suggestions for improving flow in hospitals inc</w:t>
      </w:r>
      <w:r>
        <w:rPr>
          <w:rFonts w:eastAsia="Times New Roman"/>
          <w:color w:val="333333"/>
          <w:sz w:val="24"/>
          <w:szCs w:val="24"/>
          <w:lang w:eastAsia="en-GB"/>
        </w:rPr>
        <w:t>lude (2)</w:t>
      </w:r>
      <w:proofErr w:type="gramStart"/>
      <w:r>
        <w:rPr>
          <w:rFonts w:eastAsia="Times New Roman"/>
          <w:color w:val="333333"/>
          <w:sz w:val="24"/>
          <w:szCs w:val="24"/>
          <w:lang w:eastAsia="en-GB"/>
        </w:rPr>
        <w:t>,(</w:t>
      </w:r>
      <w:proofErr w:type="gramEnd"/>
      <w:r>
        <w:rPr>
          <w:rFonts w:eastAsia="Times New Roman"/>
          <w:color w:val="333333"/>
          <w:sz w:val="24"/>
          <w:szCs w:val="24"/>
          <w:lang w:eastAsia="en-GB"/>
        </w:rPr>
        <w:t>6):</w:t>
      </w:r>
    </w:p>
    <w:p w:rsidR="00BF01DD" w:rsidRPr="00351E18" w:rsidRDefault="00C16728" w:rsidP="00351E18">
      <w:pPr>
        <w:pStyle w:val="ListParagraph"/>
        <w:numPr>
          <w:ilvl w:val="0"/>
          <w:numId w:val="14"/>
        </w:numPr>
        <w:shd w:val="clear" w:color="auto" w:fill="FFFFFF"/>
        <w:spacing w:before="240" w:after="240" w:line="312" w:lineRule="atLeast"/>
        <w:rPr>
          <w:rFonts w:eastAsia="Times New Roman"/>
          <w:color w:val="333333"/>
          <w:sz w:val="24"/>
          <w:szCs w:val="24"/>
          <w:lang w:eastAsia="en-GB"/>
        </w:rPr>
      </w:pPr>
      <w:r w:rsidRPr="00351E18">
        <w:rPr>
          <w:rFonts w:eastAsia="Times New Roman"/>
          <w:color w:val="333333"/>
          <w:sz w:val="24"/>
          <w:szCs w:val="24"/>
          <w:lang w:eastAsia="en-GB"/>
        </w:rPr>
        <w:t>Deploying ambulance managers (sometimes termed ‘HALOs’) to help manage the hospital–ambulance interface and release ambulances quicker</w:t>
      </w:r>
    </w:p>
    <w:p w:rsidR="00BF01DD" w:rsidRPr="00351E18" w:rsidRDefault="00C16728" w:rsidP="00351E18">
      <w:pPr>
        <w:pStyle w:val="ListParagraph"/>
        <w:numPr>
          <w:ilvl w:val="0"/>
          <w:numId w:val="14"/>
        </w:numPr>
        <w:shd w:val="clear" w:color="auto" w:fill="FFFFFF"/>
        <w:spacing w:before="240" w:after="240" w:line="312" w:lineRule="atLeast"/>
        <w:rPr>
          <w:rFonts w:eastAsia="Times New Roman"/>
          <w:color w:val="333333"/>
          <w:sz w:val="24"/>
          <w:szCs w:val="24"/>
          <w:lang w:eastAsia="en-GB"/>
        </w:rPr>
      </w:pPr>
      <w:r w:rsidRPr="00351E18">
        <w:rPr>
          <w:rFonts w:eastAsia="Times New Roman"/>
          <w:color w:val="333333"/>
          <w:sz w:val="24"/>
          <w:szCs w:val="24"/>
          <w:lang w:eastAsia="en-GB"/>
        </w:rPr>
        <w:t>Co-location of primary care facilities in A&amp;E department to stream patients</w:t>
      </w:r>
    </w:p>
    <w:p w:rsidR="00BF01DD" w:rsidRPr="00351E18" w:rsidRDefault="00C16728" w:rsidP="00351E18">
      <w:pPr>
        <w:pStyle w:val="ListParagraph"/>
        <w:numPr>
          <w:ilvl w:val="0"/>
          <w:numId w:val="14"/>
        </w:numPr>
        <w:shd w:val="clear" w:color="auto" w:fill="FFFFFF"/>
        <w:spacing w:before="240" w:after="240" w:line="312" w:lineRule="atLeast"/>
        <w:rPr>
          <w:rFonts w:eastAsia="Times New Roman"/>
          <w:color w:val="333333"/>
          <w:sz w:val="24"/>
          <w:szCs w:val="24"/>
          <w:lang w:eastAsia="en-GB"/>
        </w:rPr>
      </w:pPr>
      <w:r w:rsidRPr="00351E18">
        <w:rPr>
          <w:rFonts w:eastAsia="Times New Roman"/>
          <w:color w:val="333333"/>
          <w:sz w:val="24"/>
          <w:szCs w:val="24"/>
          <w:lang w:eastAsia="en-GB"/>
        </w:rPr>
        <w:t xml:space="preserve">Using Clinical Decision Units </w:t>
      </w:r>
      <w:r w:rsidRPr="00351E18">
        <w:rPr>
          <w:rFonts w:eastAsia="Times New Roman"/>
          <w:color w:val="333333"/>
          <w:sz w:val="24"/>
          <w:szCs w:val="24"/>
          <w:lang w:eastAsia="en-GB"/>
        </w:rPr>
        <w:t>outside of A&amp;E for patients who can be discharged following a short period of observation, investigation or treatment</w:t>
      </w:r>
    </w:p>
    <w:p w:rsidR="00BF01DD" w:rsidRPr="00351E18" w:rsidRDefault="00C16728" w:rsidP="00351E18">
      <w:pPr>
        <w:pStyle w:val="ListParagraph"/>
        <w:numPr>
          <w:ilvl w:val="0"/>
          <w:numId w:val="14"/>
        </w:numPr>
        <w:shd w:val="clear" w:color="auto" w:fill="FFFFFF"/>
        <w:spacing w:before="240" w:after="240" w:line="312" w:lineRule="atLeast"/>
        <w:rPr>
          <w:rFonts w:eastAsia="Times New Roman"/>
          <w:color w:val="333333"/>
          <w:sz w:val="24"/>
          <w:szCs w:val="24"/>
          <w:lang w:eastAsia="en-GB"/>
        </w:rPr>
      </w:pPr>
      <w:r w:rsidRPr="00351E18">
        <w:rPr>
          <w:rFonts w:eastAsia="Times New Roman"/>
          <w:color w:val="333333"/>
          <w:sz w:val="24"/>
          <w:szCs w:val="24"/>
          <w:lang w:eastAsia="en-GB"/>
        </w:rPr>
        <w:t>Assessing patients for frailty when they present at A&amp;E so they can begin to receive specialist care and get the right level of support wh</w:t>
      </w:r>
      <w:r w:rsidRPr="00351E18">
        <w:rPr>
          <w:rFonts w:eastAsia="Times New Roman"/>
          <w:color w:val="333333"/>
          <w:sz w:val="24"/>
          <w:szCs w:val="24"/>
          <w:lang w:eastAsia="en-GB"/>
        </w:rPr>
        <w:t>en they are ready to be disch</w:t>
      </w:r>
      <w:bookmarkStart w:id="0" w:name="_GoBack"/>
      <w:bookmarkEnd w:id="0"/>
      <w:r w:rsidRPr="00351E18">
        <w:rPr>
          <w:rFonts w:eastAsia="Times New Roman"/>
          <w:color w:val="333333"/>
          <w:sz w:val="24"/>
          <w:szCs w:val="24"/>
          <w:lang w:eastAsia="en-GB"/>
        </w:rPr>
        <w:t>arged.</w:t>
      </w:r>
    </w:p>
    <w:p w:rsidR="00BF01DD" w:rsidRPr="00351E18" w:rsidRDefault="00C16728" w:rsidP="00351E18">
      <w:pPr>
        <w:pStyle w:val="ListParagraph"/>
        <w:numPr>
          <w:ilvl w:val="0"/>
          <w:numId w:val="14"/>
        </w:numPr>
        <w:shd w:val="clear" w:color="auto" w:fill="FFFFFF"/>
        <w:spacing w:before="240" w:after="240" w:line="312" w:lineRule="atLeast"/>
        <w:rPr>
          <w:rFonts w:eastAsia="Times New Roman"/>
          <w:color w:val="333333"/>
          <w:sz w:val="24"/>
          <w:szCs w:val="24"/>
          <w:lang w:eastAsia="en-GB"/>
        </w:rPr>
      </w:pPr>
      <w:r w:rsidRPr="00351E18">
        <w:rPr>
          <w:rFonts w:eastAsia="Times New Roman"/>
          <w:color w:val="333333"/>
          <w:sz w:val="24"/>
          <w:szCs w:val="24"/>
          <w:lang w:eastAsia="en-GB"/>
        </w:rPr>
        <w:t>Using the SAFER patient flow bundle and ‘Red2Green days’ tools</w:t>
      </w:r>
    </w:p>
    <w:p w:rsidR="00BF01DD" w:rsidRPr="00351E18" w:rsidRDefault="00C16728" w:rsidP="00351E18">
      <w:pPr>
        <w:pStyle w:val="ListParagraph"/>
        <w:numPr>
          <w:ilvl w:val="0"/>
          <w:numId w:val="14"/>
        </w:numPr>
        <w:shd w:val="clear" w:color="auto" w:fill="FFFFFF"/>
        <w:spacing w:before="240" w:after="240" w:line="312" w:lineRule="atLeast"/>
        <w:rPr>
          <w:rFonts w:eastAsia="Times New Roman"/>
          <w:color w:val="333333"/>
          <w:sz w:val="24"/>
          <w:szCs w:val="24"/>
          <w:lang w:eastAsia="en-GB"/>
        </w:rPr>
      </w:pPr>
      <w:r w:rsidRPr="00351E18">
        <w:rPr>
          <w:rFonts w:eastAsia="Times New Roman"/>
          <w:color w:val="333333"/>
          <w:sz w:val="24"/>
          <w:szCs w:val="24"/>
          <w:lang w:eastAsia="en-GB"/>
        </w:rPr>
        <w:t>Using lean or Six Sigma approaches to quality improvement</w:t>
      </w:r>
    </w:p>
    <w:p w:rsidR="00BF01DD" w:rsidRDefault="00B907BF">
      <w:pPr>
        <w:pStyle w:val="Standard"/>
        <w:shd w:val="clear" w:color="auto" w:fill="FFFFFF"/>
        <w:spacing w:before="240" w:after="240" w:line="312" w:lineRule="atLeast"/>
        <w:rPr>
          <w:rFonts w:eastAsia="Times New Roman"/>
          <w:b/>
          <w:bCs/>
          <w:color w:val="333333"/>
          <w:sz w:val="24"/>
          <w:szCs w:val="24"/>
          <w:lang w:eastAsia="en-GB"/>
        </w:rPr>
      </w:pPr>
      <w:r>
        <w:rPr>
          <w:rFonts w:eastAsia="Times New Roman"/>
          <w:b/>
          <w:bCs/>
          <w:color w:val="333333"/>
          <w:sz w:val="24"/>
          <w:szCs w:val="24"/>
          <w:lang w:eastAsia="en-GB"/>
        </w:rPr>
        <w:br/>
      </w:r>
      <w:r w:rsidR="00C16728">
        <w:rPr>
          <w:rFonts w:eastAsia="Times New Roman"/>
          <w:b/>
          <w:bCs/>
          <w:color w:val="333333"/>
          <w:sz w:val="24"/>
          <w:szCs w:val="24"/>
          <w:lang w:eastAsia="en-GB"/>
        </w:rPr>
        <w:t>Further reading</w:t>
      </w:r>
      <w:r w:rsidR="00351E18">
        <w:rPr>
          <w:rFonts w:eastAsia="Times New Roman"/>
          <w:b/>
          <w:bCs/>
          <w:color w:val="333333"/>
          <w:sz w:val="24"/>
          <w:szCs w:val="24"/>
          <w:lang w:eastAsia="en-GB"/>
        </w:rPr>
        <w:t xml:space="preserve"> and references</w:t>
      </w:r>
    </w:p>
    <w:p w:rsidR="00BF01DD" w:rsidRPr="00C16728" w:rsidRDefault="00C16728" w:rsidP="00351E18">
      <w:pPr>
        <w:pStyle w:val="Standard"/>
        <w:numPr>
          <w:ilvl w:val="0"/>
          <w:numId w:val="17"/>
        </w:numPr>
        <w:shd w:val="clear" w:color="auto" w:fill="FFFFFF"/>
        <w:spacing w:before="240" w:after="240" w:line="312" w:lineRule="atLeast"/>
        <w:rPr>
          <w:rStyle w:val="Hyperlink"/>
          <w:rFonts w:eastAsia="Times New Roman"/>
          <w:bCs/>
          <w:sz w:val="24"/>
          <w:szCs w:val="24"/>
          <w:lang w:eastAsia="en-GB"/>
        </w:rPr>
      </w:pPr>
      <w:hyperlink r:id="rId9" w:history="1">
        <w:r w:rsidRPr="00C16728">
          <w:rPr>
            <w:rStyle w:val="Hyperlink"/>
            <w:bCs/>
            <w:sz w:val="24"/>
            <w:szCs w:val="24"/>
          </w:rPr>
          <w:t>NHS Benchmarking, 2017, Older People’s Care in Acute Settings: National Report</w:t>
        </w:r>
      </w:hyperlink>
    </w:p>
    <w:p w:rsidR="00BF01DD" w:rsidRPr="00C16728" w:rsidRDefault="00C16728" w:rsidP="00351E18">
      <w:pPr>
        <w:pStyle w:val="Standard"/>
        <w:numPr>
          <w:ilvl w:val="0"/>
          <w:numId w:val="17"/>
        </w:numPr>
        <w:shd w:val="clear" w:color="auto" w:fill="FFFFFF"/>
        <w:spacing w:before="240" w:after="240" w:line="312" w:lineRule="atLeast"/>
        <w:rPr>
          <w:rStyle w:val="Hyperlink"/>
          <w:rFonts w:eastAsia="Times New Roman"/>
          <w:bCs/>
          <w:sz w:val="24"/>
          <w:szCs w:val="24"/>
          <w:lang w:eastAsia="en-GB"/>
        </w:rPr>
      </w:pPr>
      <w:hyperlink r:id="rId10" w:history="1">
        <w:r w:rsidRPr="00C16728">
          <w:rPr>
            <w:rStyle w:val="Hyperlink"/>
            <w:bCs/>
            <w:sz w:val="24"/>
            <w:szCs w:val="24"/>
          </w:rPr>
          <w:t>NHS Improvement, 2017, Good practice guide: Focus on improving patient flow</w:t>
        </w:r>
      </w:hyperlink>
    </w:p>
    <w:p w:rsidR="00BF01DD" w:rsidRPr="00C16728" w:rsidRDefault="00C16728" w:rsidP="00351E18">
      <w:pPr>
        <w:pStyle w:val="Standard"/>
        <w:numPr>
          <w:ilvl w:val="0"/>
          <w:numId w:val="17"/>
        </w:numPr>
        <w:shd w:val="clear" w:color="auto" w:fill="FFFFFF"/>
        <w:spacing w:before="240" w:after="240" w:line="312" w:lineRule="atLeast"/>
        <w:rPr>
          <w:rStyle w:val="Hyperlink"/>
          <w:rFonts w:eastAsia="Times New Roman"/>
          <w:bCs/>
          <w:sz w:val="24"/>
          <w:szCs w:val="24"/>
          <w:lang w:eastAsia="en-GB"/>
        </w:rPr>
      </w:pPr>
      <w:hyperlink r:id="rId11" w:history="1">
        <w:r w:rsidRPr="00C16728">
          <w:rPr>
            <w:rStyle w:val="Hyperlink"/>
            <w:rFonts w:eastAsia="Times New Roman"/>
            <w:bCs/>
            <w:sz w:val="24"/>
            <w:szCs w:val="24"/>
            <w:lang w:eastAsia="en-GB"/>
          </w:rPr>
          <w:t>King’s Fund, 2018, Delayed transfer</w:t>
        </w:r>
        <w:r w:rsidRPr="00C16728">
          <w:rPr>
            <w:rStyle w:val="Hyperlink"/>
            <w:rFonts w:eastAsia="Times New Roman"/>
            <w:bCs/>
            <w:sz w:val="24"/>
            <w:szCs w:val="24"/>
            <w:lang w:eastAsia="en-GB"/>
          </w:rPr>
          <w:t>s of care: a quick guide</w:t>
        </w:r>
      </w:hyperlink>
    </w:p>
    <w:p w:rsidR="00BF01DD" w:rsidRPr="00C16728" w:rsidRDefault="00C16728" w:rsidP="00351E18">
      <w:pPr>
        <w:pStyle w:val="Standard"/>
        <w:numPr>
          <w:ilvl w:val="0"/>
          <w:numId w:val="17"/>
        </w:numPr>
        <w:shd w:val="clear" w:color="auto" w:fill="FFFFFF"/>
        <w:spacing w:before="240" w:after="240" w:line="312" w:lineRule="atLeast"/>
        <w:rPr>
          <w:rStyle w:val="Hyperlink"/>
          <w:rFonts w:eastAsia="Times New Roman"/>
          <w:bCs/>
          <w:sz w:val="24"/>
          <w:szCs w:val="24"/>
          <w:lang w:eastAsia="en-GB"/>
        </w:rPr>
      </w:pPr>
      <w:hyperlink r:id="rId12" w:history="1">
        <w:r w:rsidRPr="00C16728">
          <w:rPr>
            <w:rStyle w:val="Hyperlink"/>
            <w:bCs/>
            <w:sz w:val="24"/>
            <w:szCs w:val="24"/>
          </w:rPr>
          <w:t xml:space="preserve">Nuffield Trust, 2017, </w:t>
        </w:r>
        <w:proofErr w:type="gramStart"/>
        <w:r w:rsidRPr="00C16728">
          <w:rPr>
            <w:rStyle w:val="Hyperlink"/>
            <w:bCs/>
            <w:sz w:val="24"/>
            <w:szCs w:val="24"/>
          </w:rPr>
          <w:t>What's</w:t>
        </w:r>
        <w:proofErr w:type="gramEnd"/>
        <w:r w:rsidRPr="00C16728">
          <w:rPr>
            <w:rStyle w:val="Hyperlink"/>
            <w:bCs/>
            <w:sz w:val="24"/>
            <w:szCs w:val="24"/>
          </w:rPr>
          <w:t xml:space="preserve"> behind delayed transfers of care?</w:t>
        </w:r>
      </w:hyperlink>
    </w:p>
    <w:p w:rsidR="00BF01DD" w:rsidRPr="00C16728" w:rsidRDefault="00C16728" w:rsidP="00351E18">
      <w:pPr>
        <w:pStyle w:val="Standard"/>
        <w:numPr>
          <w:ilvl w:val="0"/>
          <w:numId w:val="17"/>
        </w:numPr>
        <w:shd w:val="clear" w:color="auto" w:fill="FFFFFF"/>
        <w:spacing w:before="240" w:after="240" w:line="312" w:lineRule="atLeast"/>
        <w:rPr>
          <w:rStyle w:val="Hyperlink"/>
          <w:sz w:val="24"/>
          <w:szCs w:val="24"/>
        </w:rPr>
      </w:pPr>
      <w:hyperlink r:id="rId13" w:history="1">
        <w:r w:rsidRPr="00C16728">
          <w:rPr>
            <w:rStyle w:val="Hyperlink"/>
            <w:sz w:val="24"/>
            <w:szCs w:val="24"/>
          </w:rPr>
          <w:t>BMJ Qu</w:t>
        </w:r>
        <w:r w:rsidRPr="00C16728">
          <w:rPr>
            <w:rStyle w:val="Hyperlink"/>
            <w:sz w:val="24"/>
            <w:szCs w:val="24"/>
          </w:rPr>
          <w:t>ality and Safety, Six ways not to improve patient flow: a qualitative study</w:t>
        </w:r>
      </w:hyperlink>
    </w:p>
    <w:p w:rsidR="00351E18" w:rsidRPr="00C16728" w:rsidRDefault="00351E18" w:rsidP="00B907BF">
      <w:pPr>
        <w:pStyle w:val="Standard"/>
        <w:numPr>
          <w:ilvl w:val="0"/>
          <w:numId w:val="17"/>
        </w:numPr>
        <w:shd w:val="clear" w:color="auto" w:fill="FFFFFF"/>
        <w:spacing w:before="240" w:after="240" w:line="312" w:lineRule="atLeast"/>
        <w:rPr>
          <w:sz w:val="24"/>
          <w:szCs w:val="24"/>
        </w:rPr>
      </w:pPr>
      <w:hyperlink r:id="rId14" w:history="1">
        <w:r w:rsidRPr="00C16728">
          <w:rPr>
            <w:rStyle w:val="Hyperlink"/>
            <w:rFonts w:eastAsia="Times New Roman"/>
            <w:bCs/>
            <w:sz w:val="24"/>
            <w:szCs w:val="24"/>
            <w:lang w:eastAsia="en-GB"/>
          </w:rPr>
          <w:t>The Hea</w:t>
        </w:r>
        <w:r w:rsidRPr="00C16728">
          <w:rPr>
            <w:rStyle w:val="Hyperlink"/>
            <w:rFonts w:eastAsia="Times New Roman"/>
            <w:bCs/>
            <w:sz w:val="24"/>
            <w:szCs w:val="24"/>
            <w:lang w:eastAsia="en-GB"/>
          </w:rPr>
          <w:t>l</w:t>
        </w:r>
        <w:r w:rsidRPr="00C16728">
          <w:rPr>
            <w:rStyle w:val="Hyperlink"/>
            <w:rFonts w:eastAsia="Times New Roman"/>
            <w:bCs/>
            <w:sz w:val="24"/>
            <w:szCs w:val="24"/>
            <w:lang w:eastAsia="en-GB"/>
          </w:rPr>
          <w:t xml:space="preserve">th Foundation, 2013, Unblocking a Hospital in Gridlock </w:t>
        </w:r>
        <w:r w:rsidR="00B907BF" w:rsidRPr="00C16728">
          <w:rPr>
            <w:rStyle w:val="Hyperlink"/>
            <w:rFonts w:eastAsia="Times New Roman"/>
            <w:bCs/>
            <w:sz w:val="24"/>
            <w:szCs w:val="24"/>
            <w:lang w:eastAsia="en-GB"/>
          </w:rPr>
          <w:t>South Warwickshire NHS</w:t>
        </w:r>
        <w:r w:rsidR="00B907BF" w:rsidRPr="00C16728">
          <w:rPr>
            <w:rStyle w:val="Hyperlink"/>
            <w:color w:val="auto"/>
            <w:sz w:val="24"/>
            <w:szCs w:val="24"/>
            <w:u w:val="none"/>
          </w:rPr>
          <w:t xml:space="preserve"> </w:t>
        </w:r>
        <w:r w:rsidR="00B907BF" w:rsidRPr="00C16728">
          <w:rPr>
            <w:rStyle w:val="Hyperlink"/>
            <w:color w:val="auto"/>
            <w:sz w:val="24"/>
            <w:szCs w:val="24"/>
            <w:u w:val="none"/>
          </w:rPr>
          <w:tab/>
        </w:r>
        <w:r w:rsidRPr="00C16728">
          <w:rPr>
            <w:rStyle w:val="Hyperlink"/>
            <w:rFonts w:eastAsia="Times New Roman"/>
            <w:bCs/>
            <w:sz w:val="24"/>
            <w:szCs w:val="24"/>
            <w:lang w:eastAsia="en-GB"/>
          </w:rPr>
          <w:t>Foundation Trust’s experience of the Flow Cost Quality improvement programme</w:t>
        </w:r>
      </w:hyperlink>
    </w:p>
    <w:p w:rsidR="00BF01DD" w:rsidRDefault="00C16728">
      <w:pPr>
        <w:pStyle w:val="Standard"/>
        <w:shd w:val="clear" w:color="auto" w:fill="FFFFFF"/>
        <w:spacing w:before="240" w:after="240" w:line="312" w:lineRule="atLeast"/>
      </w:pPr>
      <w:r>
        <w:rPr>
          <w:rFonts w:eastAsia="Times New Roman"/>
          <w:b/>
          <w:bCs/>
          <w:color w:val="333333"/>
          <w:sz w:val="24"/>
          <w:szCs w:val="24"/>
          <w:lang w:eastAsia="en-GB"/>
        </w:rPr>
        <w:t xml:space="preserve">Primary audience: </w:t>
      </w:r>
      <w:r>
        <w:rPr>
          <w:rFonts w:eastAsia="Times New Roman"/>
          <w:color w:val="333333"/>
          <w:sz w:val="24"/>
          <w:szCs w:val="24"/>
          <w:lang w:eastAsia="en-GB"/>
        </w:rPr>
        <w:t>LKS staff and their wider organisations</w:t>
      </w:r>
    </w:p>
    <w:p w:rsidR="00BF01DD" w:rsidRDefault="00C16728">
      <w:pPr>
        <w:pStyle w:val="Standard"/>
        <w:shd w:val="clear" w:color="auto" w:fill="FFFFFF"/>
        <w:spacing w:before="240" w:after="240" w:line="312" w:lineRule="atLeast"/>
      </w:pPr>
      <w:r>
        <w:rPr>
          <w:rFonts w:eastAsia="Times New Roman"/>
          <w:b/>
          <w:bCs/>
          <w:color w:val="333333"/>
          <w:sz w:val="24"/>
          <w:szCs w:val="24"/>
          <w:lang w:eastAsia="en-GB"/>
        </w:rPr>
        <w:t xml:space="preserve">Date last updated: </w:t>
      </w:r>
      <w:r>
        <w:rPr>
          <w:rFonts w:eastAsia="Times New Roman"/>
          <w:color w:val="333333"/>
          <w:sz w:val="24"/>
          <w:szCs w:val="24"/>
          <w:lang w:eastAsia="en-GB"/>
        </w:rPr>
        <w:t xml:space="preserve">May </w:t>
      </w:r>
      <w:r>
        <w:rPr>
          <w:rFonts w:eastAsia="Times New Roman"/>
          <w:bCs/>
          <w:color w:val="333333"/>
          <w:sz w:val="24"/>
          <w:szCs w:val="24"/>
          <w:lang w:eastAsia="en-GB"/>
        </w:rPr>
        <w:t>2018</w:t>
      </w:r>
    </w:p>
    <w:p w:rsidR="00BF01DD" w:rsidRDefault="00C16728">
      <w:pPr>
        <w:pStyle w:val="Standard"/>
        <w:shd w:val="clear" w:color="auto" w:fill="FFFFFF"/>
        <w:spacing w:before="240" w:after="240" w:line="312" w:lineRule="atLeast"/>
      </w:pPr>
      <w:r>
        <w:rPr>
          <w:rFonts w:eastAsia="Times New Roman"/>
          <w:b/>
          <w:bCs/>
          <w:color w:val="333333"/>
          <w:sz w:val="24"/>
          <w:szCs w:val="24"/>
          <w:lang w:eastAsia="en-GB"/>
        </w:rPr>
        <w:lastRenderedPageBreak/>
        <w:t xml:space="preserve">Due for review: </w:t>
      </w:r>
      <w:r>
        <w:rPr>
          <w:rFonts w:eastAsia="Times New Roman"/>
          <w:color w:val="333333"/>
          <w:sz w:val="24"/>
          <w:szCs w:val="24"/>
          <w:lang w:eastAsia="en-GB"/>
        </w:rPr>
        <w:t>M</w:t>
      </w:r>
      <w:r>
        <w:rPr>
          <w:rFonts w:eastAsia="Times New Roman"/>
          <w:bCs/>
          <w:color w:val="333333"/>
          <w:sz w:val="24"/>
          <w:szCs w:val="24"/>
          <w:lang w:eastAsia="en-GB"/>
        </w:rPr>
        <w:t>ay 2019</w:t>
      </w:r>
    </w:p>
    <w:p w:rsidR="00BF01DD" w:rsidRDefault="00C16728">
      <w:pPr>
        <w:pStyle w:val="Standard"/>
        <w:shd w:val="clear" w:color="auto" w:fill="FFFFFF"/>
        <w:spacing w:before="240" w:after="240" w:line="312" w:lineRule="atLeast"/>
      </w:pPr>
      <w:r>
        <w:rPr>
          <w:rFonts w:eastAsia="Times New Roman"/>
          <w:b/>
          <w:bCs/>
          <w:color w:val="333333"/>
          <w:sz w:val="24"/>
          <w:szCs w:val="24"/>
          <w:lang w:eastAsia="en-GB"/>
        </w:rPr>
        <w:t xml:space="preserve">Group member responsible: </w:t>
      </w:r>
      <w:r>
        <w:rPr>
          <w:rFonts w:eastAsia="Times New Roman"/>
          <w:color w:val="333333"/>
          <w:sz w:val="24"/>
          <w:szCs w:val="24"/>
          <w:lang w:eastAsia="en-GB"/>
        </w:rPr>
        <w:t>JC</w:t>
      </w:r>
    </w:p>
    <w:p w:rsidR="00BF01DD" w:rsidRDefault="00BF01DD">
      <w:pPr>
        <w:pStyle w:val="Standard"/>
      </w:pPr>
    </w:p>
    <w:sectPr w:rsidR="00BF01DD">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16728">
      <w:pPr>
        <w:spacing w:after="0" w:line="240" w:lineRule="auto"/>
      </w:pPr>
      <w:r>
        <w:separator/>
      </w:r>
    </w:p>
  </w:endnote>
  <w:endnote w:type="continuationSeparator" w:id="0">
    <w:p w:rsidR="00000000" w:rsidRDefault="00C16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16728">
      <w:pPr>
        <w:spacing w:after="0" w:line="240" w:lineRule="auto"/>
      </w:pPr>
      <w:r>
        <w:rPr>
          <w:color w:val="000000"/>
        </w:rPr>
        <w:separator/>
      </w:r>
    </w:p>
  </w:footnote>
  <w:footnote w:type="continuationSeparator" w:id="0">
    <w:p w:rsidR="00000000" w:rsidRDefault="00C167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53010"/>
    <w:multiLevelType w:val="hybridMultilevel"/>
    <w:tmpl w:val="0C4AF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6E24646"/>
    <w:multiLevelType w:val="multilevel"/>
    <w:tmpl w:val="A3FA372C"/>
    <w:numStyleLink w:val="WWNum3"/>
  </w:abstractNum>
  <w:abstractNum w:abstractNumId="2">
    <w:nsid w:val="0DA36B44"/>
    <w:multiLevelType w:val="hybridMultilevel"/>
    <w:tmpl w:val="B1E881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EFD0376"/>
    <w:multiLevelType w:val="multilevel"/>
    <w:tmpl w:val="F456330A"/>
    <w:styleLink w:val="WWNum1"/>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4">
    <w:nsid w:val="215874DE"/>
    <w:multiLevelType w:val="multilevel"/>
    <w:tmpl w:val="A3FA372C"/>
    <w:numStyleLink w:val="WWNum3"/>
  </w:abstractNum>
  <w:abstractNum w:abstractNumId="5">
    <w:nsid w:val="220E3D5D"/>
    <w:multiLevelType w:val="hybridMultilevel"/>
    <w:tmpl w:val="B7385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8341FD9"/>
    <w:multiLevelType w:val="multilevel"/>
    <w:tmpl w:val="172EB644"/>
    <w:styleLink w:val="WWNum2"/>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7">
    <w:nsid w:val="29623CCF"/>
    <w:multiLevelType w:val="multilevel"/>
    <w:tmpl w:val="07E643BA"/>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nsid w:val="5C1F50F2"/>
    <w:multiLevelType w:val="hybridMultilevel"/>
    <w:tmpl w:val="49140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B4754FA"/>
    <w:multiLevelType w:val="multilevel"/>
    <w:tmpl w:val="A3FA372C"/>
    <w:styleLink w:val="WWNum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6F031C7A"/>
    <w:multiLevelType w:val="hybridMultilevel"/>
    <w:tmpl w:val="784EAC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71F0460D"/>
    <w:multiLevelType w:val="hybridMultilevel"/>
    <w:tmpl w:val="37CE4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E5272A4"/>
    <w:multiLevelType w:val="multilevel"/>
    <w:tmpl w:val="942AA4B6"/>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3"/>
  </w:num>
  <w:num w:numId="2">
    <w:abstractNumId w:val="6"/>
  </w:num>
  <w:num w:numId="3">
    <w:abstractNumId w:val="9"/>
  </w:num>
  <w:num w:numId="4">
    <w:abstractNumId w:val="12"/>
  </w:num>
  <w:num w:numId="5">
    <w:abstractNumId w:val="7"/>
  </w:num>
  <w:num w:numId="6">
    <w:abstractNumId w:val="3"/>
    <w:lvlOverride w:ilvl="0"/>
  </w:num>
  <w:num w:numId="7">
    <w:abstractNumId w:val="12"/>
    <w:lvlOverride w:ilvl="0"/>
  </w:num>
  <w:num w:numId="8">
    <w:abstractNumId w:val="7"/>
    <w:lvlOverride w:ilvl="0"/>
  </w:num>
  <w:num w:numId="9">
    <w:abstractNumId w:val="9"/>
    <w:lvlOverride w:ilvl="0">
      <w:startOverride w:val="1"/>
    </w:lvlOverride>
  </w:num>
  <w:num w:numId="10">
    <w:abstractNumId w:val="0"/>
  </w:num>
  <w:num w:numId="11">
    <w:abstractNumId w:val="2"/>
  </w:num>
  <w:num w:numId="12">
    <w:abstractNumId w:val="5"/>
  </w:num>
  <w:num w:numId="13">
    <w:abstractNumId w:val="10"/>
  </w:num>
  <w:num w:numId="14">
    <w:abstractNumId w:val="11"/>
  </w:num>
  <w:num w:numId="15">
    <w:abstractNumId w:val="8"/>
  </w:num>
  <w:num w:numId="16">
    <w:abstractNumId w:val="4"/>
  </w:num>
  <w:num w:numId="17">
    <w:abstractNumId w:val="1"/>
    <w:lvlOverride w:ilvl="0">
      <w:lvl w:ilvl="0">
        <w:start w:val="1"/>
        <w:numFmt w:val="decimal"/>
        <w:lvlText w:val="%1."/>
        <w:lvlJc w:val="left"/>
        <w:rPr>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F01DD"/>
    <w:rsid w:val="00351E18"/>
    <w:rsid w:val="003B72FB"/>
    <w:rsid w:val="00B907BF"/>
    <w:rsid w:val="00BF01DD"/>
    <w:rsid w:val="00C16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ahoma"/>
        <w:kern w:val="3"/>
        <w:sz w:val="22"/>
        <w:szCs w:val="22"/>
        <w:lang w:val="en-GB"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eastAsia="Microsoft YaHei"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NormalWeb">
    <w:name w:val="Normal (Web)"/>
    <w:basedOn w:val="Standard"/>
    <w:pPr>
      <w:spacing w:before="100" w:after="100" w:line="240" w:lineRule="auto"/>
    </w:pPr>
    <w:rPr>
      <w:rFonts w:ascii="Times New Roman" w:eastAsia="Times New Roman" w:hAnsi="Times New Roman" w:cs="Times New Roman"/>
      <w:sz w:val="24"/>
      <w:szCs w:val="24"/>
      <w:lang w:eastAsia="en-GB"/>
    </w:rPr>
  </w:style>
  <w:style w:type="paragraph" w:styleId="ListParagraph">
    <w:name w:val="List Paragraph"/>
    <w:basedOn w:val="Standard"/>
    <w:pPr>
      <w:ind w:left="720"/>
    </w:pPr>
  </w:style>
  <w:style w:type="character" w:customStyle="1" w:styleId="apple-converted-space">
    <w:name w:val="apple-converted-space"/>
    <w:basedOn w:val="DefaultParagraphFont"/>
  </w:style>
  <w:style w:type="character" w:customStyle="1" w:styleId="Internetlink">
    <w:name w:val="Internet link"/>
    <w:basedOn w:val="DefaultParagraphFont"/>
    <w:rPr>
      <w:color w:val="0000FF"/>
      <w:u w:val="single"/>
    </w:rPr>
  </w:style>
  <w:style w:type="character" w:customStyle="1" w:styleId="StrongEmphasis">
    <w:name w:val="Strong Emphasis"/>
    <w:basedOn w:val="DefaultParagraphFont"/>
    <w:rPr>
      <w:b/>
      <w:bCs/>
    </w:rPr>
  </w:style>
  <w:style w:type="character" w:styleId="FollowedHyperlink">
    <w:name w:val="FollowedHyperlink"/>
    <w:basedOn w:val="DefaultParagraphFont"/>
    <w:rPr>
      <w:color w:val="800080"/>
      <w:u w:val="single"/>
    </w:rPr>
  </w:style>
  <w:style w:type="character" w:customStyle="1" w:styleId="ListLabel1">
    <w:name w:val="ListLabel 1"/>
    <w:rPr>
      <w:sz w:val="20"/>
    </w:rPr>
  </w:style>
  <w:style w:type="character" w:customStyle="1" w:styleId="ListLabel2">
    <w:name w:val="ListLabel 2"/>
    <w:rPr>
      <w:rFonts w:cs="Courier New"/>
    </w:rPr>
  </w:style>
  <w:style w:type="character" w:styleId="Emphasis">
    <w:name w:val="Emphasis"/>
    <w:rPr>
      <w:i/>
      <w:iCs/>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character" w:styleId="Hyperlink">
    <w:name w:val="Hyperlink"/>
    <w:basedOn w:val="DefaultParagraphFont"/>
    <w:uiPriority w:val="99"/>
    <w:unhideWhenUsed/>
    <w:rsid w:val="00351E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ahoma"/>
        <w:kern w:val="3"/>
        <w:sz w:val="22"/>
        <w:szCs w:val="22"/>
        <w:lang w:val="en-GB"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eastAsia="Microsoft YaHei"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NormalWeb">
    <w:name w:val="Normal (Web)"/>
    <w:basedOn w:val="Standard"/>
    <w:pPr>
      <w:spacing w:before="100" w:after="100" w:line="240" w:lineRule="auto"/>
    </w:pPr>
    <w:rPr>
      <w:rFonts w:ascii="Times New Roman" w:eastAsia="Times New Roman" w:hAnsi="Times New Roman" w:cs="Times New Roman"/>
      <w:sz w:val="24"/>
      <w:szCs w:val="24"/>
      <w:lang w:eastAsia="en-GB"/>
    </w:rPr>
  </w:style>
  <w:style w:type="paragraph" w:styleId="ListParagraph">
    <w:name w:val="List Paragraph"/>
    <w:basedOn w:val="Standard"/>
    <w:pPr>
      <w:ind w:left="720"/>
    </w:pPr>
  </w:style>
  <w:style w:type="character" w:customStyle="1" w:styleId="apple-converted-space">
    <w:name w:val="apple-converted-space"/>
    <w:basedOn w:val="DefaultParagraphFont"/>
  </w:style>
  <w:style w:type="character" w:customStyle="1" w:styleId="Internetlink">
    <w:name w:val="Internet link"/>
    <w:basedOn w:val="DefaultParagraphFont"/>
    <w:rPr>
      <w:color w:val="0000FF"/>
      <w:u w:val="single"/>
    </w:rPr>
  </w:style>
  <w:style w:type="character" w:customStyle="1" w:styleId="StrongEmphasis">
    <w:name w:val="Strong Emphasis"/>
    <w:basedOn w:val="DefaultParagraphFont"/>
    <w:rPr>
      <w:b/>
      <w:bCs/>
    </w:rPr>
  </w:style>
  <w:style w:type="character" w:styleId="FollowedHyperlink">
    <w:name w:val="FollowedHyperlink"/>
    <w:basedOn w:val="DefaultParagraphFont"/>
    <w:rPr>
      <w:color w:val="800080"/>
      <w:u w:val="single"/>
    </w:rPr>
  </w:style>
  <w:style w:type="character" w:customStyle="1" w:styleId="ListLabel1">
    <w:name w:val="ListLabel 1"/>
    <w:rPr>
      <w:sz w:val="20"/>
    </w:rPr>
  </w:style>
  <w:style w:type="character" w:customStyle="1" w:styleId="ListLabel2">
    <w:name w:val="ListLabel 2"/>
    <w:rPr>
      <w:rFonts w:cs="Courier New"/>
    </w:rPr>
  </w:style>
  <w:style w:type="character" w:styleId="Emphasis">
    <w:name w:val="Emphasis"/>
    <w:rPr>
      <w:i/>
      <w:iCs/>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character" w:styleId="Hyperlink">
    <w:name w:val="Hyperlink"/>
    <w:basedOn w:val="DefaultParagraphFont"/>
    <w:uiPriority w:val="99"/>
    <w:unhideWhenUsed/>
    <w:rsid w:val="00351E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maptoolkit.wordpress.com/2017/05/09/hot-topic-accountable-care-organisations/" TargetMode="External"/><Relationship Id="rId13" Type="http://schemas.openxmlformats.org/officeDocument/2006/relationships/hyperlink" Target="http://qualitysafety.bmj.com/content/26/5/38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nuffieldtrust.org.uk/resource/what-s-behind-delayed-transfers-of-car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kingsfund.org.uk/publications/delayed-transfers-care-quick-gui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mprovement.nhs.uk/uploads/documents/Patient_Flow_Guidance_2017___13_July_2017.pdf" TargetMode="External"/><Relationship Id="rId4" Type="http://schemas.openxmlformats.org/officeDocument/2006/relationships/settings" Target="settings.xml"/><Relationship Id="rId9" Type="http://schemas.openxmlformats.org/officeDocument/2006/relationships/hyperlink" Target="https://www.nhsbenchmarking.nhs.uk/s/OlderPeoplesCareinAcuteSettings2016SummaryReportMarch2017-s4mm.pdf" TargetMode="External"/><Relationship Id="rId14" Type="http://schemas.openxmlformats.org/officeDocument/2006/relationships/hyperlink" Target="https://www.health.org.uk/sites/health/files/UnblockingHospitalGridlock_SouthWarwickshireFlowCaseStud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Shrewsbury and Telford Hospital NHS Trust</Company>
  <LinksUpToDate>false</LinksUpToDate>
  <CharactersWithSpaces>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 Jason (RXW)</dc:creator>
  <cp:lastModifiedBy>Curtis Jason (RXW)</cp:lastModifiedBy>
  <cp:revision>3</cp:revision>
  <cp:lastPrinted>2018-05-16T13:13:00Z</cp:lastPrinted>
  <dcterms:created xsi:type="dcterms:W3CDTF">2018-02-19T11:24:00Z</dcterms:created>
  <dcterms:modified xsi:type="dcterms:W3CDTF">2018-05-16T13:16:00Z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The Shrewsbury and Telford Hospital NHS Trust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