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D0E05" w:rsidRDefault="00E672BD" w:rsidP="00E65AEA">
      <w:pPr>
        <w:pStyle w:val="Heading1"/>
        <w:jc w:val="center"/>
        <w:rPr>
          <w:rFonts w:ascii="Baskerville Old Face" w:hAnsi="Baskerville Old Face"/>
        </w:rPr>
      </w:pPr>
      <w:r>
        <w:fldChar w:fldCharType="begin"/>
      </w:r>
      <w:r>
        <w:instrText xml:space="preserve"> HYPERLINK "https://www.kingsfund.org.uk/sites/default/files/2018-09/cqc-provider-performance-report-september2018.pdf" </w:instrText>
      </w:r>
      <w:r>
        <w:fldChar w:fldCharType="separate"/>
      </w:r>
      <w:r w:rsidR="00E65AEA" w:rsidRPr="00E65AEA">
        <w:rPr>
          <w:rStyle w:val="Hyperlink"/>
          <w:rFonts w:ascii="Baskerville Old Face" w:hAnsi="Baskerville Old Face"/>
        </w:rPr>
        <w:t>Impact of the Care Quality Commission on provider performance – King’s Fund</w:t>
      </w:r>
      <w:r>
        <w:rPr>
          <w:rStyle w:val="Hyperlink"/>
          <w:rFonts w:ascii="Baskerville Old Face" w:hAnsi="Baskerville Old Face"/>
        </w:rPr>
        <w:fldChar w:fldCharType="end"/>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Providers accept and generally supported the need for high-quality regulation within the health-and-social-care system</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They saw the new approach – adopted in 2013 – as an improvement on what went on before</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There was more evidence of anticipatory impact (things being improved before an inspection) than systemic impact (change going beyond individual providers)</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 acute and mental-health sectors found it easier to improve following an inspection than GPs and adult social care</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 relationships between CQC staff and health-and-social-care professionals and managers fundamentally affected the way inspections, and their impact, worked</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 CQC needs to invest in the recruitment and training of its staff to create a workforce with the credibility and skills necessary to foster improvement through close relationships</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Providers need to encourage and support their staff to engage in open, improvement-focused discussions with inspection teams</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As services integrate the CQC needs to move to a place- or service-based approach</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Inspection and rating had small and mixed effects on performance in A&amp;E, maternity and GP prescribing although the effects and impact of the CQC is difficult to disentangle from other factors</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The Intelligent Monitoring data that the CQC uses to risk assess provider performance and prioritise inspections had little or no correlation with the subsequent ratings of GP practices and acute Trusts</w:t>
      </w:r>
    </w:p>
    <w:p w:rsidR="00E65AEA" w:rsidRPr="00A01599" w:rsidRDefault="00E65AEA" w:rsidP="00A01599">
      <w:pPr>
        <w:pStyle w:val="ListParagraph"/>
        <w:numPr>
          <w:ilvl w:val="0"/>
          <w:numId w:val="1"/>
        </w:numPr>
        <w:rPr>
          <w:rFonts w:ascii="Baskerville Old Face" w:hAnsi="Baskerville Old Face"/>
          <w:sz w:val="24"/>
          <w:szCs w:val="24"/>
        </w:rPr>
      </w:pPr>
      <w:r w:rsidRPr="00A01599">
        <w:rPr>
          <w:rFonts w:ascii="Baskerville Old Face" w:hAnsi="Baskerville Old Face"/>
          <w:sz w:val="24"/>
          <w:szCs w:val="24"/>
        </w:rPr>
        <w:t>Inspection and rating have dominated the CQC’s regulatory model, consumed most of its available regulatory resources and may have crowded out some other potential regulatory activities that might have more impact</w:t>
      </w:r>
    </w:p>
    <w:sectPr w:rsidR="00E65AEA" w:rsidRPr="00A01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26820"/>
    <w:multiLevelType w:val="hybridMultilevel"/>
    <w:tmpl w:val="A6BE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EA"/>
    <w:rsid w:val="000C1381"/>
    <w:rsid w:val="004F652F"/>
    <w:rsid w:val="00A01599"/>
    <w:rsid w:val="00E65AEA"/>
    <w:rsid w:val="00E67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E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65AEA"/>
    <w:rPr>
      <w:color w:val="0563C1" w:themeColor="hyperlink"/>
      <w:u w:val="single"/>
    </w:rPr>
  </w:style>
  <w:style w:type="paragraph" w:styleId="ListParagraph">
    <w:name w:val="List Paragraph"/>
    <w:basedOn w:val="Normal"/>
    <w:uiPriority w:val="34"/>
    <w:qFormat/>
    <w:rsid w:val="00A015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AE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65AEA"/>
    <w:rPr>
      <w:color w:val="0563C1" w:themeColor="hyperlink"/>
      <w:u w:val="single"/>
    </w:rPr>
  </w:style>
  <w:style w:type="paragraph" w:styleId="ListParagraph">
    <w:name w:val="List Paragraph"/>
    <w:basedOn w:val="Normal"/>
    <w:uiPriority w:val="34"/>
    <w:qFormat/>
    <w:rsid w:val="00A0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Gale</dc:creator>
  <cp:lastModifiedBy>Pratchett Tracey (LTHTR)</cp:lastModifiedBy>
  <cp:revision>2</cp:revision>
  <dcterms:created xsi:type="dcterms:W3CDTF">2018-12-21T15:57:00Z</dcterms:created>
  <dcterms:modified xsi:type="dcterms:W3CDTF">2018-12-21T15:57:00Z</dcterms:modified>
</cp:coreProperties>
</file>