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295B" w14:textId="77777777" w:rsidR="00292639" w:rsidRDefault="00DD6D1E" w:rsidP="00DD6D1E">
      <w:pPr>
        <w:pStyle w:val="Title"/>
      </w:pPr>
      <w:r>
        <w:t>RUH</w:t>
      </w:r>
      <w:r w:rsidR="00C3303F">
        <w:t xml:space="preserve"> bulletin:</w:t>
      </w:r>
      <w:r>
        <w:t xml:space="preserve"> </w:t>
      </w:r>
      <w:r w:rsidR="003E7AE2">
        <w:t xml:space="preserve">Adult </w:t>
      </w:r>
      <w:r w:rsidR="00026B96">
        <w:t>aphasia, dysarthria and dysphagia</w:t>
      </w:r>
    </w:p>
    <w:p w14:paraId="1504EE4D" w14:textId="21CB8125" w:rsidR="00D67C1F" w:rsidRDefault="00292639" w:rsidP="00DD6D1E">
      <w:pPr>
        <w:pStyle w:val="Title"/>
      </w:pPr>
      <w:r>
        <w:t>October</w:t>
      </w:r>
      <w:r w:rsidR="00DD6D1E">
        <w:t xml:space="preserve"> 202</w:t>
      </w:r>
      <w:r w:rsidR="008B2EBE">
        <w:t>5</w:t>
      </w:r>
    </w:p>
    <w:p w14:paraId="077D5E46" w14:textId="77777777" w:rsidR="004E0963" w:rsidRPr="004E0963" w:rsidRDefault="004E0963" w:rsidP="004E0963"/>
    <w:p w14:paraId="7F127612" w14:textId="77777777" w:rsidR="004E0963" w:rsidRPr="001D2528" w:rsidRDefault="004E0963" w:rsidP="004E0963">
      <w:pPr>
        <w:rPr>
          <w:b/>
          <w:lang w:eastAsia="en-GB"/>
        </w:rPr>
      </w:pPr>
      <w:r w:rsidRPr="001D2528">
        <w:rPr>
          <w:b/>
          <w:color w:val="4472C4" w:themeColor="accent5"/>
          <w:sz w:val="28"/>
          <w:szCs w:val="24"/>
          <w:lang w:eastAsia="en-GB"/>
        </w:rPr>
        <w:t>New training via MS Teams available from the Academy Library:</w:t>
      </w:r>
      <w:r w:rsidRPr="001D2528">
        <w:rPr>
          <w:b/>
          <w:color w:val="4472C4" w:themeColor="accent5"/>
          <w:sz w:val="28"/>
          <w:szCs w:val="24"/>
          <w:lang w:eastAsia="en-GB"/>
        </w:rPr>
        <w:br/>
      </w:r>
    </w:p>
    <w:p w14:paraId="0248959E" w14:textId="77777777" w:rsidR="004E0963" w:rsidRPr="001D2528" w:rsidRDefault="004E0963" w:rsidP="004E0963">
      <w:pPr>
        <w:numPr>
          <w:ilvl w:val="0"/>
          <w:numId w:val="1"/>
        </w:numPr>
        <w:rPr>
          <w:lang w:eastAsia="en-GB"/>
        </w:rPr>
      </w:pPr>
      <w:r w:rsidRPr="001D2528">
        <w:rPr>
          <w:b/>
          <w:bCs/>
          <w:lang w:eastAsia="en-GB"/>
        </w:rPr>
        <w:t>Bitesize searching databases for evidence: a quick guide to help you develop your literature searching skills</w:t>
      </w:r>
      <w:r w:rsidRPr="001D2528">
        <w:rPr>
          <w:lang w:eastAsia="en-GB"/>
        </w:rPr>
        <w:br/>
        <w:t>45 minutes. Learn how to transform a question into a search strategy, and how to find the best evidence in a database.</w:t>
      </w:r>
    </w:p>
    <w:p w14:paraId="35A0724A" w14:textId="0289A55B" w:rsidR="004E0963" w:rsidRPr="001D2528" w:rsidRDefault="004E0963" w:rsidP="004E0963">
      <w:pPr>
        <w:ind w:left="720"/>
        <w:rPr>
          <w:b/>
          <w:bCs/>
          <w:color w:val="A20000"/>
          <w:lang w:eastAsia="en-GB"/>
        </w:rPr>
      </w:pPr>
      <w:r w:rsidRPr="001D2528">
        <w:rPr>
          <w:b/>
          <w:bCs/>
          <w:color w:val="A20000"/>
          <w:lang w:eastAsia="en-GB"/>
        </w:rPr>
        <w:t xml:space="preserve">Next sessions: </w:t>
      </w:r>
      <w:r>
        <w:rPr>
          <w:b/>
          <w:bCs/>
          <w:color w:val="A20000"/>
          <w:lang w:eastAsia="en-GB"/>
        </w:rPr>
        <w:t>10</w:t>
      </w:r>
      <w:r w:rsidRPr="00671040">
        <w:rPr>
          <w:b/>
          <w:bCs/>
          <w:color w:val="A20000"/>
          <w:vertAlign w:val="superscript"/>
          <w:lang w:eastAsia="en-GB"/>
        </w:rPr>
        <w:t>th</w:t>
      </w:r>
      <w:r>
        <w:rPr>
          <w:b/>
          <w:bCs/>
          <w:color w:val="A20000"/>
          <w:lang w:eastAsia="en-GB"/>
        </w:rPr>
        <w:t xml:space="preserve"> November @ 11am &amp; 2</w:t>
      </w:r>
      <w:r w:rsidRPr="004E0963">
        <w:rPr>
          <w:b/>
          <w:bCs/>
          <w:color w:val="A20000"/>
          <w:vertAlign w:val="superscript"/>
          <w:lang w:eastAsia="en-GB"/>
        </w:rPr>
        <w:t>nd</w:t>
      </w:r>
      <w:r>
        <w:rPr>
          <w:b/>
          <w:bCs/>
          <w:color w:val="A20000"/>
          <w:lang w:eastAsia="en-GB"/>
        </w:rPr>
        <w:t xml:space="preserve"> December @12 noon.</w:t>
      </w:r>
    </w:p>
    <w:p w14:paraId="674D5AF2" w14:textId="77777777" w:rsidR="004E0963" w:rsidRPr="001D2528" w:rsidRDefault="004E0963" w:rsidP="004E0963">
      <w:pPr>
        <w:rPr>
          <w:lang w:eastAsia="en-GB"/>
        </w:rPr>
      </w:pPr>
    </w:p>
    <w:p w14:paraId="1DA6F37F" w14:textId="77777777" w:rsidR="004E0963" w:rsidRPr="001D2528" w:rsidRDefault="004E0963" w:rsidP="004E0963">
      <w:pPr>
        <w:numPr>
          <w:ilvl w:val="0"/>
          <w:numId w:val="1"/>
        </w:numPr>
        <w:rPr>
          <w:lang w:eastAsia="en-GB"/>
        </w:rPr>
      </w:pPr>
      <w:r w:rsidRPr="001D2528">
        <w:rPr>
          <w:b/>
          <w:bCs/>
          <w:lang w:eastAsia="en-GB"/>
        </w:rPr>
        <w:t>Simple and painless evidence into practice (BMJ Best Practice and the LKS Hub)</w:t>
      </w:r>
      <w:r w:rsidRPr="001D2528">
        <w:rPr>
          <w:lang w:eastAsia="en-GB"/>
        </w:rPr>
        <w:br/>
        <w:t>30 minutes. Learn about quick and hassle-free ways to seamlessly incorporate evidence into your daily work.</w:t>
      </w:r>
    </w:p>
    <w:p w14:paraId="28D81319" w14:textId="3425B27C" w:rsidR="004E0963" w:rsidRPr="001D2528" w:rsidRDefault="004E0963" w:rsidP="004E0963">
      <w:pPr>
        <w:ind w:left="720"/>
        <w:rPr>
          <w:b/>
          <w:bCs/>
          <w:color w:val="A20000"/>
          <w:lang w:eastAsia="en-GB"/>
        </w:rPr>
      </w:pPr>
      <w:r w:rsidRPr="001D2528">
        <w:rPr>
          <w:b/>
          <w:bCs/>
          <w:color w:val="A20000"/>
          <w:lang w:eastAsia="en-GB"/>
        </w:rPr>
        <w:t xml:space="preserve">Next sessions: </w:t>
      </w:r>
      <w:r>
        <w:rPr>
          <w:b/>
          <w:bCs/>
          <w:color w:val="A20000"/>
          <w:lang w:eastAsia="en-GB"/>
        </w:rPr>
        <w:t xml:space="preserve"> 11</w:t>
      </w:r>
      <w:r w:rsidRPr="00671040">
        <w:rPr>
          <w:b/>
          <w:bCs/>
          <w:color w:val="A20000"/>
          <w:vertAlign w:val="superscript"/>
          <w:lang w:eastAsia="en-GB"/>
        </w:rPr>
        <w:t>th</w:t>
      </w:r>
      <w:r>
        <w:rPr>
          <w:b/>
          <w:bCs/>
          <w:color w:val="A20000"/>
          <w:lang w:eastAsia="en-GB"/>
        </w:rPr>
        <w:t xml:space="preserve"> November @ 10am &amp; 3</w:t>
      </w:r>
      <w:r w:rsidRPr="00671040">
        <w:rPr>
          <w:b/>
          <w:bCs/>
          <w:color w:val="A20000"/>
          <w:vertAlign w:val="superscript"/>
          <w:lang w:eastAsia="en-GB"/>
        </w:rPr>
        <w:t>rd</w:t>
      </w:r>
      <w:r>
        <w:rPr>
          <w:b/>
          <w:bCs/>
          <w:color w:val="A20000"/>
          <w:lang w:eastAsia="en-GB"/>
        </w:rPr>
        <w:t xml:space="preserve"> December @ 11am.</w:t>
      </w:r>
    </w:p>
    <w:p w14:paraId="04617642" w14:textId="77777777" w:rsidR="004E0963" w:rsidRPr="001D2528" w:rsidRDefault="004E0963" w:rsidP="004E0963">
      <w:pPr>
        <w:rPr>
          <w:lang w:eastAsia="en-GB"/>
        </w:rPr>
      </w:pPr>
    </w:p>
    <w:p w14:paraId="2A028317" w14:textId="77777777" w:rsidR="004E0963" w:rsidRPr="001D2528" w:rsidRDefault="004E0963" w:rsidP="004E0963">
      <w:pPr>
        <w:numPr>
          <w:ilvl w:val="0"/>
          <w:numId w:val="1"/>
        </w:numPr>
        <w:rPr>
          <w:lang w:eastAsia="en-GB"/>
        </w:rPr>
      </w:pPr>
      <w:r w:rsidRPr="001D2528">
        <w:rPr>
          <w:b/>
          <w:bCs/>
          <w:lang w:eastAsia="en-GB"/>
        </w:rPr>
        <w:t>Quickfire health literacy: communicating with patients more effectively</w:t>
      </w:r>
      <w:r w:rsidRPr="001D2528">
        <w:rPr>
          <w:lang w:eastAsia="en-GB"/>
        </w:rPr>
        <w:br/>
        <w:t>30 minutes. Learn about the communication barriers patients may encounter, and ways to ensure they get the most from their care.</w:t>
      </w:r>
    </w:p>
    <w:p w14:paraId="3D6BDD47" w14:textId="253D0389" w:rsidR="004E0963" w:rsidRPr="001D2528" w:rsidRDefault="004E0963" w:rsidP="004E0963">
      <w:pPr>
        <w:ind w:left="720"/>
        <w:rPr>
          <w:b/>
          <w:bCs/>
          <w:color w:val="A20000"/>
          <w:lang w:eastAsia="en-GB"/>
        </w:rPr>
      </w:pPr>
      <w:r w:rsidRPr="001D2528">
        <w:rPr>
          <w:b/>
          <w:bCs/>
          <w:color w:val="A20000"/>
          <w:lang w:eastAsia="en-GB"/>
        </w:rPr>
        <w:t xml:space="preserve">Next sessions: </w:t>
      </w:r>
      <w:r>
        <w:rPr>
          <w:b/>
          <w:bCs/>
          <w:color w:val="A20000"/>
          <w:lang w:eastAsia="en-GB"/>
        </w:rPr>
        <w:t>28</w:t>
      </w:r>
      <w:r w:rsidRPr="00671040">
        <w:rPr>
          <w:b/>
          <w:bCs/>
          <w:color w:val="A20000"/>
          <w:vertAlign w:val="superscript"/>
          <w:lang w:eastAsia="en-GB"/>
        </w:rPr>
        <w:t>th</w:t>
      </w:r>
      <w:r>
        <w:rPr>
          <w:b/>
          <w:bCs/>
          <w:color w:val="A20000"/>
          <w:lang w:eastAsia="en-GB"/>
        </w:rPr>
        <w:t xml:space="preserve"> November @ 12 noon &amp; 9</w:t>
      </w:r>
      <w:r w:rsidRPr="00671040">
        <w:rPr>
          <w:b/>
          <w:bCs/>
          <w:color w:val="A20000"/>
          <w:vertAlign w:val="superscript"/>
          <w:lang w:eastAsia="en-GB"/>
        </w:rPr>
        <w:t>th</w:t>
      </w:r>
      <w:r>
        <w:rPr>
          <w:b/>
          <w:bCs/>
          <w:color w:val="A20000"/>
          <w:lang w:eastAsia="en-GB"/>
        </w:rPr>
        <w:t xml:space="preserve"> December @ 1pm.</w:t>
      </w:r>
    </w:p>
    <w:p w14:paraId="6E14B10D" w14:textId="77777777" w:rsidR="004E0963" w:rsidRPr="001D2528" w:rsidRDefault="004E0963" w:rsidP="004E0963">
      <w:pPr>
        <w:rPr>
          <w:b/>
          <w:bCs/>
          <w:lang w:eastAsia="en-GB"/>
        </w:rPr>
      </w:pPr>
    </w:p>
    <w:p w14:paraId="2AD92BC5" w14:textId="77777777" w:rsidR="004E0963" w:rsidRDefault="004E0963" w:rsidP="004E0963">
      <w:pPr>
        <w:pBdr>
          <w:bottom w:val="single" w:sz="6" w:space="1" w:color="auto"/>
        </w:pBdr>
        <w:rPr>
          <w:lang w:eastAsia="en-GB"/>
        </w:rPr>
      </w:pPr>
      <w:r w:rsidRPr="001D2528">
        <w:rPr>
          <w:lang w:eastAsia="en-GB"/>
        </w:rPr>
        <w:t xml:space="preserve">Book a session today at </w:t>
      </w:r>
      <w:hyperlink r:id="rId6" w:history="1">
        <w:r w:rsidRPr="001D2528">
          <w:rPr>
            <w:rStyle w:val="Hyperlink"/>
            <w:lang w:eastAsia="en-GB"/>
          </w:rPr>
          <w:t>https://forms.office.com/e/HyiSXfDaYV</w:t>
        </w:r>
      </w:hyperlink>
      <w:r w:rsidRPr="001D2528">
        <w:rPr>
          <w:lang w:eastAsia="en-GB"/>
        </w:rPr>
        <w:t xml:space="preserve"> (sessions held </w:t>
      </w:r>
      <w:r>
        <w:rPr>
          <w:lang w:eastAsia="en-GB"/>
        </w:rPr>
        <w:t>every month</w:t>
      </w:r>
      <w:r w:rsidRPr="001D2528">
        <w:rPr>
          <w:lang w:eastAsia="en-GB"/>
        </w:rPr>
        <w:t>)</w:t>
      </w:r>
    </w:p>
    <w:p w14:paraId="12E75521" w14:textId="77777777" w:rsidR="004E0963" w:rsidRDefault="004E0963" w:rsidP="004E0963">
      <w:pPr>
        <w:pBdr>
          <w:bottom w:val="single" w:sz="6" w:space="1" w:color="auto"/>
        </w:pBdr>
        <w:rPr>
          <w:lang w:eastAsia="en-GB"/>
        </w:rPr>
      </w:pPr>
    </w:p>
    <w:p w14:paraId="3C7C13DA" w14:textId="77777777" w:rsidR="004E0963" w:rsidRPr="004E0963" w:rsidRDefault="004E0963" w:rsidP="004E0963"/>
    <w:sdt>
      <w:sdtPr>
        <w:rPr>
          <w:rFonts w:ascii="Arial" w:eastAsiaTheme="minorHAnsi" w:hAnsi="Arial" w:cs="Calibri"/>
          <w:color w:val="auto"/>
          <w:sz w:val="24"/>
          <w:szCs w:val="22"/>
          <w:lang w:val="en-GB"/>
        </w:rPr>
        <w:id w:val="284322532"/>
        <w:docPartObj>
          <w:docPartGallery w:val="Table of Contents"/>
          <w:docPartUnique/>
        </w:docPartObj>
      </w:sdtPr>
      <w:sdtEndPr>
        <w:rPr>
          <w:b/>
          <w:bCs/>
          <w:noProof/>
        </w:rPr>
      </w:sdtEndPr>
      <w:sdtContent>
        <w:p w14:paraId="45F04D86" w14:textId="77777777" w:rsidR="00653B13" w:rsidRDefault="00653B13">
          <w:pPr>
            <w:pStyle w:val="TOCHeading"/>
          </w:pPr>
          <w:r>
            <w:t>Contents</w:t>
          </w:r>
        </w:p>
        <w:p w14:paraId="17305DAC" w14:textId="05FAAB8B" w:rsidR="003877E9" w:rsidRDefault="00653B13">
          <w:pPr>
            <w:pStyle w:val="TOC1"/>
            <w:tabs>
              <w:tab w:val="right" w:leader="dot" w:pos="9016"/>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210896919" w:history="1">
            <w:r w:rsidR="003877E9" w:rsidRPr="00453EB1">
              <w:rPr>
                <w:rStyle w:val="Hyperlink"/>
                <w:noProof/>
              </w:rPr>
              <w:t>Aphasia</w:t>
            </w:r>
            <w:r w:rsidR="003877E9">
              <w:rPr>
                <w:noProof/>
                <w:webHidden/>
              </w:rPr>
              <w:tab/>
            </w:r>
            <w:r w:rsidR="003877E9">
              <w:rPr>
                <w:noProof/>
                <w:webHidden/>
              </w:rPr>
              <w:fldChar w:fldCharType="begin"/>
            </w:r>
            <w:r w:rsidR="003877E9">
              <w:rPr>
                <w:noProof/>
                <w:webHidden/>
              </w:rPr>
              <w:instrText xml:space="preserve"> PAGEREF _Toc210896919 \h </w:instrText>
            </w:r>
            <w:r w:rsidR="003877E9">
              <w:rPr>
                <w:noProof/>
                <w:webHidden/>
              </w:rPr>
            </w:r>
            <w:r w:rsidR="003877E9">
              <w:rPr>
                <w:noProof/>
                <w:webHidden/>
              </w:rPr>
              <w:fldChar w:fldCharType="separate"/>
            </w:r>
            <w:r w:rsidR="003877E9">
              <w:rPr>
                <w:noProof/>
                <w:webHidden/>
              </w:rPr>
              <w:t>2</w:t>
            </w:r>
            <w:r w:rsidR="003877E9">
              <w:rPr>
                <w:noProof/>
                <w:webHidden/>
              </w:rPr>
              <w:fldChar w:fldCharType="end"/>
            </w:r>
          </w:hyperlink>
        </w:p>
        <w:p w14:paraId="3586412A" w14:textId="455188F6" w:rsidR="003877E9" w:rsidRDefault="003877E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10896920" w:history="1">
            <w:r w:rsidRPr="00453EB1">
              <w:rPr>
                <w:rStyle w:val="Hyperlink"/>
                <w:noProof/>
              </w:rPr>
              <w:t>Dysarthria</w:t>
            </w:r>
            <w:r>
              <w:rPr>
                <w:noProof/>
                <w:webHidden/>
              </w:rPr>
              <w:tab/>
            </w:r>
            <w:r>
              <w:rPr>
                <w:noProof/>
                <w:webHidden/>
              </w:rPr>
              <w:fldChar w:fldCharType="begin"/>
            </w:r>
            <w:r>
              <w:rPr>
                <w:noProof/>
                <w:webHidden/>
              </w:rPr>
              <w:instrText xml:space="preserve"> PAGEREF _Toc210896920 \h </w:instrText>
            </w:r>
            <w:r>
              <w:rPr>
                <w:noProof/>
                <w:webHidden/>
              </w:rPr>
            </w:r>
            <w:r>
              <w:rPr>
                <w:noProof/>
                <w:webHidden/>
              </w:rPr>
              <w:fldChar w:fldCharType="separate"/>
            </w:r>
            <w:r>
              <w:rPr>
                <w:noProof/>
                <w:webHidden/>
              </w:rPr>
              <w:t>8</w:t>
            </w:r>
            <w:r>
              <w:rPr>
                <w:noProof/>
                <w:webHidden/>
              </w:rPr>
              <w:fldChar w:fldCharType="end"/>
            </w:r>
          </w:hyperlink>
        </w:p>
        <w:p w14:paraId="7A7EAC24" w14:textId="71869F45" w:rsidR="003877E9" w:rsidRDefault="003877E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10896921" w:history="1">
            <w:r w:rsidRPr="00453EB1">
              <w:rPr>
                <w:rStyle w:val="Hyperlink"/>
                <w:noProof/>
              </w:rPr>
              <w:t>Dysphagia</w:t>
            </w:r>
            <w:r>
              <w:rPr>
                <w:noProof/>
                <w:webHidden/>
              </w:rPr>
              <w:tab/>
            </w:r>
            <w:r>
              <w:rPr>
                <w:noProof/>
                <w:webHidden/>
              </w:rPr>
              <w:fldChar w:fldCharType="begin"/>
            </w:r>
            <w:r>
              <w:rPr>
                <w:noProof/>
                <w:webHidden/>
              </w:rPr>
              <w:instrText xml:space="preserve"> PAGEREF _Toc210896921 \h </w:instrText>
            </w:r>
            <w:r>
              <w:rPr>
                <w:noProof/>
                <w:webHidden/>
              </w:rPr>
            </w:r>
            <w:r>
              <w:rPr>
                <w:noProof/>
                <w:webHidden/>
              </w:rPr>
              <w:fldChar w:fldCharType="separate"/>
            </w:r>
            <w:r>
              <w:rPr>
                <w:noProof/>
                <w:webHidden/>
              </w:rPr>
              <w:t>8</w:t>
            </w:r>
            <w:r>
              <w:rPr>
                <w:noProof/>
                <w:webHidden/>
              </w:rPr>
              <w:fldChar w:fldCharType="end"/>
            </w:r>
          </w:hyperlink>
        </w:p>
        <w:p w14:paraId="689ED0A5" w14:textId="10D0D7F9" w:rsidR="003877E9" w:rsidRDefault="003877E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10896922" w:history="1">
            <w:r w:rsidRPr="00453EB1">
              <w:rPr>
                <w:rStyle w:val="Hyperlink"/>
                <w:noProof/>
              </w:rPr>
              <w:t>Videofluoroscopy</w:t>
            </w:r>
            <w:r>
              <w:rPr>
                <w:noProof/>
                <w:webHidden/>
              </w:rPr>
              <w:tab/>
            </w:r>
            <w:r>
              <w:rPr>
                <w:noProof/>
                <w:webHidden/>
              </w:rPr>
              <w:fldChar w:fldCharType="begin"/>
            </w:r>
            <w:r>
              <w:rPr>
                <w:noProof/>
                <w:webHidden/>
              </w:rPr>
              <w:instrText xml:space="preserve"> PAGEREF _Toc210896922 \h </w:instrText>
            </w:r>
            <w:r>
              <w:rPr>
                <w:noProof/>
                <w:webHidden/>
              </w:rPr>
            </w:r>
            <w:r>
              <w:rPr>
                <w:noProof/>
                <w:webHidden/>
              </w:rPr>
              <w:fldChar w:fldCharType="separate"/>
            </w:r>
            <w:r>
              <w:rPr>
                <w:noProof/>
                <w:webHidden/>
              </w:rPr>
              <w:t>17</w:t>
            </w:r>
            <w:r>
              <w:rPr>
                <w:noProof/>
                <w:webHidden/>
              </w:rPr>
              <w:fldChar w:fldCharType="end"/>
            </w:r>
          </w:hyperlink>
        </w:p>
        <w:p w14:paraId="2FB7359D" w14:textId="3364F54D" w:rsidR="003877E9" w:rsidRDefault="003877E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10896923" w:history="1">
            <w:r w:rsidRPr="00453EB1">
              <w:rPr>
                <w:rStyle w:val="Hyperlink"/>
                <w:noProof/>
              </w:rPr>
              <w:t>FEES</w:t>
            </w:r>
            <w:r>
              <w:rPr>
                <w:noProof/>
                <w:webHidden/>
              </w:rPr>
              <w:tab/>
            </w:r>
            <w:r>
              <w:rPr>
                <w:noProof/>
                <w:webHidden/>
              </w:rPr>
              <w:fldChar w:fldCharType="begin"/>
            </w:r>
            <w:r>
              <w:rPr>
                <w:noProof/>
                <w:webHidden/>
              </w:rPr>
              <w:instrText xml:space="preserve"> PAGEREF _Toc210896923 \h </w:instrText>
            </w:r>
            <w:r>
              <w:rPr>
                <w:noProof/>
                <w:webHidden/>
              </w:rPr>
            </w:r>
            <w:r>
              <w:rPr>
                <w:noProof/>
                <w:webHidden/>
              </w:rPr>
              <w:fldChar w:fldCharType="separate"/>
            </w:r>
            <w:r>
              <w:rPr>
                <w:noProof/>
                <w:webHidden/>
              </w:rPr>
              <w:t>18</w:t>
            </w:r>
            <w:r>
              <w:rPr>
                <w:noProof/>
                <w:webHidden/>
              </w:rPr>
              <w:fldChar w:fldCharType="end"/>
            </w:r>
          </w:hyperlink>
        </w:p>
        <w:p w14:paraId="2290A28D" w14:textId="3DB48A32" w:rsidR="003877E9" w:rsidRDefault="003877E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10896924" w:history="1">
            <w:r w:rsidRPr="00453EB1">
              <w:rPr>
                <w:rStyle w:val="Hyperlink"/>
                <w:noProof/>
              </w:rPr>
              <w:t>Neurorehabilitation</w:t>
            </w:r>
            <w:r>
              <w:rPr>
                <w:noProof/>
                <w:webHidden/>
              </w:rPr>
              <w:tab/>
            </w:r>
            <w:r>
              <w:rPr>
                <w:noProof/>
                <w:webHidden/>
              </w:rPr>
              <w:fldChar w:fldCharType="begin"/>
            </w:r>
            <w:r>
              <w:rPr>
                <w:noProof/>
                <w:webHidden/>
              </w:rPr>
              <w:instrText xml:space="preserve"> PAGEREF _Toc210896924 \h </w:instrText>
            </w:r>
            <w:r>
              <w:rPr>
                <w:noProof/>
                <w:webHidden/>
              </w:rPr>
            </w:r>
            <w:r>
              <w:rPr>
                <w:noProof/>
                <w:webHidden/>
              </w:rPr>
              <w:fldChar w:fldCharType="separate"/>
            </w:r>
            <w:r>
              <w:rPr>
                <w:noProof/>
                <w:webHidden/>
              </w:rPr>
              <w:t>19</w:t>
            </w:r>
            <w:r>
              <w:rPr>
                <w:noProof/>
                <w:webHidden/>
              </w:rPr>
              <w:fldChar w:fldCharType="end"/>
            </w:r>
          </w:hyperlink>
        </w:p>
        <w:p w14:paraId="4124990D" w14:textId="21B8BEE3" w:rsidR="00653B13" w:rsidRDefault="00653B13">
          <w:r>
            <w:rPr>
              <w:b/>
              <w:bCs/>
              <w:noProof/>
            </w:rPr>
            <w:fldChar w:fldCharType="end"/>
          </w:r>
        </w:p>
      </w:sdtContent>
    </w:sdt>
    <w:p w14:paraId="341053DA" w14:textId="3FA16E5B" w:rsidR="004E0963" w:rsidRDefault="004E0963">
      <w:pPr>
        <w:spacing w:after="160" w:line="259" w:lineRule="auto"/>
      </w:pPr>
      <w:r>
        <w:br w:type="page"/>
      </w:r>
    </w:p>
    <w:p w14:paraId="716D9AA6" w14:textId="77777777" w:rsidR="00DD6D1E" w:rsidRDefault="003E7AE2" w:rsidP="003E7AE2">
      <w:pPr>
        <w:pStyle w:val="Heading1"/>
      </w:pPr>
      <w:bookmarkStart w:id="0" w:name="_Toc210896919"/>
      <w:r w:rsidRPr="003E7AE2">
        <w:lastRenderedPageBreak/>
        <w:t>Aphasia</w:t>
      </w:r>
      <w:bookmarkEnd w:id="0"/>
    </w:p>
    <w:p w14:paraId="02329D6F" w14:textId="571444D4"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1. </w:t>
      </w:r>
      <w:r w:rsidRPr="004E0963">
        <w:rPr>
          <w:rFonts w:ascii="Roboto" w:eastAsia="Times New Roman" w:hAnsi="Roboto" w:cs="Times New Roman"/>
          <w:b/>
          <w:bCs/>
          <w:color w:val="000000"/>
          <w:sz w:val="21"/>
          <w:szCs w:val="21"/>
          <w:lang w:eastAsia="en-GB"/>
        </w:rPr>
        <w:t>Influence of Swallowing Function, Aphasia and High-Level Language Impairment on Discharge Destination Acutely Post-Thrombectomy.</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w:t>
      </w:r>
      <w:proofErr w:type="spellStart"/>
      <w:r w:rsidRPr="004E0963">
        <w:rPr>
          <w:rFonts w:ascii="Roboto" w:eastAsia="Times New Roman" w:hAnsi="Roboto" w:cs="Times New Roman"/>
          <w:color w:val="000000"/>
          <w:sz w:val="21"/>
          <w:szCs w:val="21"/>
          <w:lang w:eastAsia="en-GB"/>
        </w:rPr>
        <w:t>D'Netto</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Pamela;Finch</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Emma;Rumbach</w:t>
      </w:r>
      <w:proofErr w:type="spellEnd"/>
      <w:r w:rsidRPr="004E0963">
        <w:rPr>
          <w:rFonts w:ascii="Roboto" w:eastAsia="Times New Roman" w:hAnsi="Roboto" w:cs="Times New Roman"/>
          <w:color w:val="000000"/>
          <w:sz w:val="21"/>
          <w:szCs w:val="21"/>
          <w:lang w:eastAsia="en-GB"/>
        </w:rPr>
        <w:t>, Anna and Copland, David A.</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Sep 18 ,2025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Journal of Speech Language &amp; Hearing Research 1-12</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PURPOSE</w:t>
      </w:r>
      <w:r w:rsidRPr="004E0963">
        <w:rPr>
          <w:rFonts w:ascii="Roboto" w:eastAsia="Times New Roman" w:hAnsi="Roboto" w:cs="Times New Roman"/>
          <w:color w:val="000000"/>
          <w:sz w:val="21"/>
          <w:szCs w:val="21"/>
          <w:lang w:eastAsia="en-GB"/>
        </w:rPr>
        <w:t>: This study aimed to describe the incidence of aphasia, high-level language impairment, and swallowing impairment in patients post-stroke treated with mechanical thrombectomy (MT) and to identify predictors of impairment and discharge destination. </w:t>
      </w:r>
      <w:r w:rsidRPr="004E0963">
        <w:rPr>
          <w:rFonts w:ascii="Roboto" w:eastAsia="Times New Roman" w:hAnsi="Roboto" w:cs="Times New Roman"/>
          <w:b/>
          <w:bCs/>
          <w:color w:val="000000"/>
          <w:sz w:val="21"/>
          <w:szCs w:val="21"/>
          <w:lang w:eastAsia="en-GB"/>
        </w:rPr>
        <w:t>METHOD</w:t>
      </w:r>
      <w:r w:rsidRPr="004E0963">
        <w:rPr>
          <w:rFonts w:ascii="Roboto" w:eastAsia="Times New Roman" w:hAnsi="Roboto" w:cs="Times New Roman"/>
          <w:color w:val="000000"/>
          <w:sz w:val="21"/>
          <w:szCs w:val="21"/>
          <w:lang w:eastAsia="en-GB"/>
        </w:rPr>
        <w:t>: This retrospective study examined impairments diagnosed by a speech-language pathologist in patients post-MT during their admission to the acute stroke unit. Multivariate logistic regression was used to determine the independent predictors of impairments and discharge to inpatient rehabilitation. </w:t>
      </w:r>
      <w:r w:rsidRPr="004E0963">
        <w:rPr>
          <w:rFonts w:ascii="Roboto" w:eastAsia="Times New Roman" w:hAnsi="Roboto" w:cs="Times New Roman"/>
          <w:b/>
          <w:bCs/>
          <w:color w:val="000000"/>
          <w:sz w:val="21"/>
          <w:szCs w:val="21"/>
          <w:lang w:eastAsia="en-GB"/>
        </w:rPr>
        <w:t>RESULTS</w:t>
      </w:r>
      <w:r w:rsidRPr="004E0963">
        <w:rPr>
          <w:rFonts w:ascii="Roboto" w:eastAsia="Times New Roman" w:hAnsi="Roboto" w:cs="Times New Roman"/>
          <w:color w:val="000000"/>
          <w:sz w:val="21"/>
          <w:szCs w:val="21"/>
          <w:lang w:eastAsia="en-GB"/>
        </w:rPr>
        <w:t>: Language impairment was present in 66.4% (</w:t>
      </w:r>
      <w:r w:rsidRPr="004E0963">
        <w:rPr>
          <w:rFonts w:ascii="Roboto" w:eastAsia="Times New Roman" w:hAnsi="Roboto" w:cs="Times New Roman"/>
          <w:i/>
          <w:iCs/>
          <w:color w:val="000000"/>
          <w:sz w:val="21"/>
          <w:szCs w:val="21"/>
          <w:lang w:eastAsia="en-GB"/>
        </w:rPr>
        <w:t>n =</w:t>
      </w:r>
      <w:r w:rsidRPr="004E0963">
        <w:rPr>
          <w:rFonts w:ascii="Roboto" w:eastAsia="Times New Roman" w:hAnsi="Roboto" w:cs="Times New Roman"/>
          <w:color w:val="000000"/>
          <w:sz w:val="21"/>
          <w:szCs w:val="21"/>
          <w:lang w:eastAsia="en-GB"/>
        </w:rPr>
        <w:t> 249/375; </w:t>
      </w:r>
      <w:r w:rsidRPr="004E0963">
        <w:rPr>
          <w:rFonts w:ascii="Roboto" w:eastAsia="Times New Roman" w:hAnsi="Roboto" w:cs="Times New Roman"/>
          <w:i/>
          <w:iCs/>
          <w:color w:val="000000"/>
          <w:sz w:val="21"/>
          <w:szCs w:val="21"/>
          <w:lang w:eastAsia="en-GB"/>
        </w:rPr>
        <w:t>n =</w:t>
      </w:r>
      <w:r w:rsidRPr="004E0963">
        <w:rPr>
          <w:rFonts w:ascii="Roboto" w:eastAsia="Times New Roman" w:hAnsi="Roboto" w:cs="Times New Roman"/>
          <w:color w:val="000000"/>
          <w:sz w:val="21"/>
          <w:szCs w:val="21"/>
          <w:lang w:eastAsia="en-GB"/>
        </w:rPr>
        <w:t> 133 aphasia and </w:t>
      </w:r>
      <w:r w:rsidRPr="004E0963">
        <w:rPr>
          <w:rFonts w:ascii="Roboto" w:eastAsia="Times New Roman" w:hAnsi="Roboto" w:cs="Times New Roman"/>
          <w:i/>
          <w:iCs/>
          <w:color w:val="000000"/>
          <w:sz w:val="21"/>
          <w:szCs w:val="21"/>
          <w:lang w:eastAsia="en-GB"/>
        </w:rPr>
        <w:t>n =</w:t>
      </w:r>
      <w:r w:rsidRPr="004E0963">
        <w:rPr>
          <w:rFonts w:ascii="Roboto" w:eastAsia="Times New Roman" w:hAnsi="Roboto" w:cs="Times New Roman"/>
          <w:color w:val="000000"/>
          <w:sz w:val="21"/>
          <w:szCs w:val="21"/>
          <w:lang w:eastAsia="en-GB"/>
        </w:rPr>
        <w:t> 116 high-level impairment) and swallowing impairment in 59.1% (</w:t>
      </w:r>
      <w:r w:rsidRPr="004E0963">
        <w:rPr>
          <w:rFonts w:ascii="Roboto" w:eastAsia="Times New Roman" w:hAnsi="Roboto" w:cs="Times New Roman"/>
          <w:i/>
          <w:iCs/>
          <w:color w:val="000000"/>
          <w:sz w:val="21"/>
          <w:szCs w:val="21"/>
          <w:lang w:eastAsia="en-GB"/>
        </w:rPr>
        <w:t>n =</w:t>
      </w:r>
      <w:r w:rsidRPr="004E0963">
        <w:rPr>
          <w:rFonts w:ascii="Roboto" w:eastAsia="Times New Roman" w:hAnsi="Roboto" w:cs="Times New Roman"/>
          <w:color w:val="000000"/>
          <w:sz w:val="21"/>
          <w:szCs w:val="21"/>
          <w:lang w:eastAsia="en-GB"/>
        </w:rPr>
        <w:t> 238/403) of the patients. National Institute of Health Stroke Scale scores 24-hr post-MT were predictive of language (odds ratio [</w:t>
      </w:r>
      <w:r w:rsidRPr="004E0963">
        <w:rPr>
          <w:rFonts w:ascii="Roboto" w:eastAsia="Times New Roman" w:hAnsi="Roboto" w:cs="Times New Roman"/>
          <w:i/>
          <w:iCs/>
          <w:color w:val="000000"/>
          <w:sz w:val="21"/>
          <w:szCs w:val="21"/>
          <w:lang w:eastAsia="en-GB"/>
        </w:rPr>
        <w:t>OR</w:t>
      </w:r>
      <w:r w:rsidRPr="004E0963">
        <w:rPr>
          <w:rFonts w:ascii="Roboto" w:eastAsia="Times New Roman" w:hAnsi="Roboto" w:cs="Times New Roman"/>
          <w:color w:val="000000"/>
          <w:sz w:val="21"/>
          <w:szCs w:val="21"/>
          <w:lang w:eastAsia="en-GB"/>
        </w:rPr>
        <w:t>] </w:t>
      </w:r>
      <w:r w:rsidRPr="004E0963">
        <w:rPr>
          <w:rFonts w:ascii="Roboto" w:eastAsia="Times New Roman" w:hAnsi="Roboto" w:cs="Times New Roman"/>
          <w:i/>
          <w:iCs/>
          <w:color w:val="000000"/>
          <w:sz w:val="21"/>
          <w:szCs w:val="21"/>
          <w:lang w:eastAsia="en-GB"/>
        </w:rPr>
        <w:t>=</w:t>
      </w:r>
      <w:r w:rsidRPr="004E0963">
        <w:rPr>
          <w:rFonts w:ascii="Roboto" w:eastAsia="Times New Roman" w:hAnsi="Roboto" w:cs="Times New Roman"/>
          <w:color w:val="000000"/>
          <w:sz w:val="21"/>
          <w:szCs w:val="21"/>
          <w:lang w:eastAsia="en-GB"/>
        </w:rPr>
        <w:t> 1.09, 95% confidence interval [CI; 1.02, 1.16], </w:t>
      </w:r>
      <w:r w:rsidRPr="004E0963">
        <w:rPr>
          <w:rFonts w:ascii="Roboto" w:eastAsia="Times New Roman" w:hAnsi="Roboto" w:cs="Times New Roman"/>
          <w:i/>
          <w:iCs/>
          <w:color w:val="000000"/>
          <w:sz w:val="21"/>
          <w:szCs w:val="21"/>
          <w:lang w:eastAsia="en-GB"/>
        </w:rPr>
        <w:t>p</w:t>
      </w:r>
      <w:r w:rsidRPr="004E0963">
        <w:rPr>
          <w:rFonts w:ascii="Roboto" w:eastAsia="Times New Roman" w:hAnsi="Roboto" w:cs="Times New Roman"/>
          <w:color w:val="000000"/>
          <w:sz w:val="21"/>
          <w:szCs w:val="21"/>
          <w:lang w:eastAsia="en-GB"/>
        </w:rPr>
        <w:t> = .011) and swallowing (</w:t>
      </w:r>
      <w:r w:rsidRPr="004E0963">
        <w:rPr>
          <w:rFonts w:ascii="Roboto" w:eastAsia="Times New Roman" w:hAnsi="Roboto" w:cs="Times New Roman"/>
          <w:i/>
          <w:iCs/>
          <w:color w:val="000000"/>
          <w:sz w:val="21"/>
          <w:szCs w:val="21"/>
          <w:lang w:eastAsia="en-GB"/>
        </w:rPr>
        <w:t>OR =</w:t>
      </w:r>
      <w:r w:rsidRPr="004E0963">
        <w:rPr>
          <w:rFonts w:ascii="Roboto" w:eastAsia="Times New Roman" w:hAnsi="Roboto" w:cs="Times New Roman"/>
          <w:color w:val="000000"/>
          <w:sz w:val="21"/>
          <w:szCs w:val="21"/>
          <w:lang w:eastAsia="en-GB"/>
        </w:rPr>
        <w:t> 1.41, 95% CI [1.26, 1.58], </w:t>
      </w:r>
      <w:r w:rsidRPr="004E0963">
        <w:rPr>
          <w:rFonts w:ascii="Roboto" w:eastAsia="Times New Roman" w:hAnsi="Roboto" w:cs="Times New Roman"/>
          <w:i/>
          <w:iCs/>
          <w:color w:val="000000"/>
          <w:sz w:val="21"/>
          <w:szCs w:val="21"/>
          <w:lang w:eastAsia="en-GB"/>
        </w:rPr>
        <w:t>p</w:t>
      </w:r>
      <w:r w:rsidRPr="004E0963">
        <w:rPr>
          <w:rFonts w:ascii="Roboto" w:eastAsia="Times New Roman" w:hAnsi="Roboto" w:cs="Times New Roman"/>
          <w:color w:val="000000"/>
          <w:sz w:val="21"/>
          <w:szCs w:val="21"/>
          <w:lang w:eastAsia="en-GB"/>
        </w:rPr>
        <w:t> </w:t>
      </w:r>
      <w:r w:rsidRPr="004E0963">
        <w:rPr>
          <w:rFonts w:ascii="Roboto" w:eastAsia="Times New Roman" w:hAnsi="Roboto" w:cs="Times New Roman"/>
          <w:i/>
          <w:iCs/>
          <w:color w:val="000000"/>
          <w:sz w:val="21"/>
          <w:szCs w:val="21"/>
          <w:lang w:eastAsia="en-GB"/>
        </w:rPr>
        <w:t>OR</w:t>
      </w:r>
      <w:r w:rsidRPr="004E0963">
        <w:rPr>
          <w:rFonts w:ascii="Roboto" w:eastAsia="Times New Roman" w:hAnsi="Roboto" w:cs="Times New Roman"/>
          <w:color w:val="000000"/>
          <w:sz w:val="21"/>
          <w:szCs w:val="21"/>
          <w:lang w:eastAsia="en-GB"/>
        </w:rPr>
        <w:t> = 4.77, 95% CI [1.60, 14.22], </w:t>
      </w:r>
      <w:r w:rsidRPr="004E0963">
        <w:rPr>
          <w:rFonts w:ascii="Roboto" w:eastAsia="Times New Roman" w:hAnsi="Roboto" w:cs="Times New Roman"/>
          <w:i/>
          <w:iCs/>
          <w:color w:val="000000"/>
          <w:sz w:val="21"/>
          <w:szCs w:val="21"/>
          <w:lang w:eastAsia="en-GB"/>
        </w:rPr>
        <w:t>p</w:t>
      </w:r>
      <w:r w:rsidRPr="004E0963">
        <w:rPr>
          <w:rFonts w:ascii="Roboto" w:eastAsia="Times New Roman" w:hAnsi="Roboto" w:cs="Times New Roman"/>
          <w:color w:val="000000"/>
          <w:sz w:val="21"/>
          <w:szCs w:val="21"/>
          <w:lang w:eastAsia="en-GB"/>
        </w:rPr>
        <w:t> = .005). </w:t>
      </w:r>
      <w:r w:rsidRPr="004E0963">
        <w:rPr>
          <w:rFonts w:ascii="Roboto" w:eastAsia="Times New Roman" w:hAnsi="Roboto" w:cs="Times New Roman"/>
          <w:b/>
          <w:bCs/>
          <w:color w:val="000000"/>
          <w:sz w:val="21"/>
          <w:szCs w:val="21"/>
          <w:lang w:eastAsia="en-GB"/>
        </w:rPr>
        <w:t>CONCLUSIONS</w:t>
      </w:r>
      <w:r w:rsidRPr="004E0963">
        <w:rPr>
          <w:rFonts w:ascii="Roboto" w:eastAsia="Times New Roman" w:hAnsi="Roboto" w:cs="Times New Roman"/>
          <w:color w:val="000000"/>
          <w:sz w:val="21"/>
          <w:szCs w:val="21"/>
          <w:lang w:eastAsia="en-GB"/>
        </w:rPr>
        <w:t>: Swallowing and language impairments, such as aphasia or high-level impairment, in isolation and in combination with other demographic and clinical variables, significantly influence the discharge trajectory of patients acutely post-MT. This information is vital for clinicians who need to prognosticate and plan rehabilitative care. </w:t>
      </w:r>
      <w:r w:rsidRPr="004E0963">
        <w:rPr>
          <w:rFonts w:ascii="Roboto" w:eastAsia="Times New Roman" w:hAnsi="Roboto" w:cs="Times New Roman"/>
          <w:b/>
          <w:bCs/>
          <w:color w:val="000000"/>
          <w:sz w:val="21"/>
          <w:szCs w:val="21"/>
          <w:lang w:eastAsia="en-GB"/>
        </w:rPr>
        <w:t>SUPPLEMENTAL MATERIAL</w:t>
      </w:r>
      <w:r w:rsidRPr="004E0963">
        <w:rPr>
          <w:rFonts w:ascii="Roboto" w:eastAsia="Times New Roman" w:hAnsi="Roboto" w:cs="Times New Roman"/>
          <w:color w:val="000000"/>
          <w:sz w:val="21"/>
          <w:szCs w:val="21"/>
          <w:lang w:eastAsia="en-GB"/>
        </w:rPr>
        <w:t>: </w:t>
      </w:r>
      <w:hyperlink r:id="rId7" w:tgtFrame="_blank" w:history="1">
        <w:r w:rsidRPr="004E0963">
          <w:rPr>
            <w:rFonts w:ascii="Roboto" w:eastAsia="Times New Roman" w:hAnsi="Roboto" w:cs="Times New Roman"/>
            <w:color w:val="0066CC"/>
            <w:sz w:val="21"/>
            <w:szCs w:val="21"/>
            <w:u w:val="single"/>
            <w:lang w:eastAsia="en-GB"/>
          </w:rPr>
          <w:t>https://doi.org/10.23641/asha.30066892.</w:t>
        </w:r>
      </w:hyperlink>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8" w:tgtFrame="_blank" w:history="1">
        <w:r w:rsidRPr="004E0963">
          <w:rPr>
            <w:rFonts w:ascii="Roboto" w:eastAsia="Times New Roman" w:hAnsi="Roboto" w:cs="Times New Roman"/>
            <w:color w:val="0066CC"/>
            <w:sz w:val="21"/>
            <w:szCs w:val="21"/>
            <w:u w:val="single"/>
            <w:lang w:eastAsia="en-GB"/>
          </w:rPr>
          <w:t>https://libkey.io/10.1044/2025_JSLHR-24-00866</w:t>
        </w:r>
      </w:hyperlink>
    </w:p>
    <w:p w14:paraId="6ACE5CB3" w14:textId="4BCEC97B"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2. </w:t>
      </w:r>
      <w:r w:rsidRPr="004E0963">
        <w:rPr>
          <w:rFonts w:ascii="Roboto" w:eastAsia="Times New Roman" w:hAnsi="Roboto" w:cs="Times New Roman"/>
          <w:b/>
          <w:bCs/>
          <w:color w:val="000000"/>
          <w:sz w:val="21"/>
          <w:szCs w:val="21"/>
          <w:lang w:eastAsia="en-GB"/>
        </w:rPr>
        <w:t>Effects of Cognitive Demand and Imaginability on Semantic Cognition in Patients with Primary Progressive Aphasia.</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xml:space="preserve"> Ferrer Aragon, </w:t>
      </w:r>
      <w:proofErr w:type="spellStart"/>
      <w:r w:rsidRPr="004E0963">
        <w:rPr>
          <w:rFonts w:ascii="Roboto" w:eastAsia="Times New Roman" w:hAnsi="Roboto" w:cs="Times New Roman"/>
          <w:color w:val="000000"/>
          <w:sz w:val="21"/>
          <w:szCs w:val="21"/>
          <w:lang w:eastAsia="en-GB"/>
        </w:rPr>
        <w:t>Jonatan;Tellez-Alanis</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Bernarda;Hernandez-Galvan</w:t>
      </w:r>
      <w:proofErr w:type="spellEnd"/>
      <w:r w:rsidRPr="004E0963">
        <w:rPr>
          <w:rFonts w:ascii="Roboto" w:eastAsia="Times New Roman" w:hAnsi="Roboto" w:cs="Times New Roman"/>
          <w:color w:val="000000"/>
          <w:sz w:val="21"/>
          <w:szCs w:val="21"/>
          <w:lang w:eastAsia="en-GB"/>
        </w:rPr>
        <w:t>, Adela and Sosa Ortiz, Ana Luisa</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Current Alzheimer Research</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INTRODUCTION/OBJECTIVE</w:t>
      </w:r>
      <w:r w:rsidRPr="004E0963">
        <w:rPr>
          <w:rFonts w:ascii="Roboto" w:eastAsia="Times New Roman" w:hAnsi="Roboto" w:cs="Times New Roman"/>
          <w:color w:val="000000"/>
          <w:sz w:val="21"/>
          <w:szCs w:val="21"/>
          <w:lang w:eastAsia="en-GB"/>
        </w:rPr>
        <w:t>: Primary progressive aphasia (PPA) is a clinical syndrome characterized by progressive language impairment. Three subtypes have been identified: semantic (</w:t>
      </w:r>
      <w:proofErr w:type="spellStart"/>
      <w:r w:rsidRPr="004E0963">
        <w:rPr>
          <w:rFonts w:ascii="Roboto" w:eastAsia="Times New Roman" w:hAnsi="Roboto" w:cs="Times New Roman"/>
          <w:color w:val="000000"/>
          <w:sz w:val="21"/>
          <w:szCs w:val="21"/>
          <w:lang w:eastAsia="en-GB"/>
        </w:rPr>
        <w:t>svPPA</w:t>
      </w:r>
      <w:proofErr w:type="spellEnd"/>
      <w:r w:rsidRPr="004E0963">
        <w:rPr>
          <w:rFonts w:ascii="Roboto" w:eastAsia="Times New Roman" w:hAnsi="Roboto" w:cs="Times New Roman"/>
          <w:color w:val="000000"/>
          <w:sz w:val="21"/>
          <w:szCs w:val="21"/>
          <w:lang w:eastAsia="en-GB"/>
        </w:rPr>
        <w:t>), nonfluent (</w:t>
      </w:r>
      <w:proofErr w:type="spellStart"/>
      <w:r w:rsidRPr="004E0963">
        <w:rPr>
          <w:rFonts w:ascii="Roboto" w:eastAsia="Times New Roman" w:hAnsi="Roboto" w:cs="Times New Roman"/>
          <w:color w:val="000000"/>
          <w:sz w:val="21"/>
          <w:szCs w:val="21"/>
          <w:lang w:eastAsia="en-GB"/>
        </w:rPr>
        <w:t>nfPPA</w:t>
      </w:r>
      <w:proofErr w:type="spellEnd"/>
      <w:r w:rsidRPr="004E0963">
        <w:rPr>
          <w:rFonts w:ascii="Roboto" w:eastAsia="Times New Roman" w:hAnsi="Roboto" w:cs="Times New Roman"/>
          <w:color w:val="000000"/>
          <w:sz w:val="21"/>
          <w:szCs w:val="21"/>
          <w:lang w:eastAsia="en-GB"/>
        </w:rPr>
        <w:t xml:space="preserve">), and </w:t>
      </w:r>
      <w:proofErr w:type="spellStart"/>
      <w:r w:rsidRPr="004E0963">
        <w:rPr>
          <w:rFonts w:ascii="Roboto" w:eastAsia="Times New Roman" w:hAnsi="Roboto" w:cs="Times New Roman"/>
          <w:color w:val="000000"/>
          <w:sz w:val="21"/>
          <w:szCs w:val="21"/>
          <w:lang w:eastAsia="en-GB"/>
        </w:rPr>
        <w:t>logopenic</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lvPPA</w:t>
      </w:r>
      <w:proofErr w:type="spellEnd"/>
      <w:r w:rsidRPr="004E0963">
        <w:rPr>
          <w:rFonts w:ascii="Roboto" w:eastAsia="Times New Roman" w:hAnsi="Roboto" w:cs="Times New Roman"/>
          <w:color w:val="000000"/>
          <w:sz w:val="21"/>
          <w:szCs w:val="21"/>
          <w:lang w:eastAsia="en-GB"/>
        </w:rPr>
        <w:t xml:space="preserve">). Although clinical criteria exist to classify these subtypes, the specific ways in which semantic cognition is impaired across these variants have not yet been fully elucidated. This cross-sectional study aimed to </w:t>
      </w:r>
      <w:proofErr w:type="spellStart"/>
      <w:r w:rsidRPr="004E0963">
        <w:rPr>
          <w:rFonts w:ascii="Roboto" w:eastAsia="Times New Roman" w:hAnsi="Roboto" w:cs="Times New Roman"/>
          <w:color w:val="000000"/>
          <w:sz w:val="21"/>
          <w:szCs w:val="21"/>
          <w:lang w:eastAsia="en-GB"/>
        </w:rPr>
        <w:t>analyze</w:t>
      </w:r>
      <w:proofErr w:type="spellEnd"/>
      <w:r w:rsidRPr="004E0963">
        <w:rPr>
          <w:rFonts w:ascii="Roboto" w:eastAsia="Times New Roman" w:hAnsi="Roboto" w:cs="Times New Roman"/>
          <w:color w:val="000000"/>
          <w:sz w:val="21"/>
          <w:szCs w:val="21"/>
          <w:lang w:eastAsia="en-GB"/>
        </w:rPr>
        <w:t xml:space="preserve"> the effects of cognitive demand and imaginability on semantic cognition in patients with PPA. </w:t>
      </w:r>
      <w:r w:rsidRPr="004E0963">
        <w:rPr>
          <w:rFonts w:ascii="Roboto" w:eastAsia="Times New Roman" w:hAnsi="Roboto" w:cs="Times New Roman"/>
          <w:b/>
          <w:bCs/>
          <w:color w:val="000000"/>
          <w:sz w:val="21"/>
          <w:szCs w:val="21"/>
          <w:lang w:eastAsia="en-GB"/>
        </w:rPr>
        <w:t>METHODS</w:t>
      </w:r>
      <w:r w:rsidRPr="004E0963">
        <w:rPr>
          <w:rFonts w:ascii="Roboto" w:eastAsia="Times New Roman" w:hAnsi="Roboto" w:cs="Times New Roman"/>
          <w:color w:val="000000"/>
          <w:sz w:val="21"/>
          <w:szCs w:val="21"/>
          <w:lang w:eastAsia="en-GB"/>
        </w:rPr>
        <w:t xml:space="preserve">: Fifteen patients with PPA (five per variant) and 20 healthy controls completed a semantic association task comprising 20 items. The task included two levels of cognitive demand (low and high) and two types of concepts (concrete and abstract). Participants selected the word with the strongest semantic link to a probe word, based on synonymy, categorical relations, or shared features. Accuracy and reaction times were recorded and </w:t>
      </w:r>
      <w:proofErr w:type="spellStart"/>
      <w:r w:rsidRPr="004E0963">
        <w:rPr>
          <w:rFonts w:ascii="Roboto" w:eastAsia="Times New Roman" w:hAnsi="Roboto" w:cs="Times New Roman"/>
          <w:color w:val="000000"/>
          <w:sz w:val="21"/>
          <w:szCs w:val="21"/>
          <w:lang w:eastAsia="en-GB"/>
        </w:rPr>
        <w:t>analyzed</w:t>
      </w:r>
      <w:proofErr w:type="spellEnd"/>
      <w:r w:rsidRPr="004E0963">
        <w:rPr>
          <w:rFonts w:ascii="Roboto" w:eastAsia="Times New Roman" w:hAnsi="Roboto" w:cs="Times New Roman"/>
          <w:color w:val="000000"/>
          <w:sz w:val="21"/>
          <w:szCs w:val="21"/>
          <w:lang w:eastAsia="en-GB"/>
        </w:rPr>
        <w:t xml:space="preserve"> using nonparametric statistics. </w:t>
      </w:r>
      <w:r w:rsidRPr="004E0963">
        <w:rPr>
          <w:rFonts w:ascii="Roboto" w:eastAsia="Times New Roman" w:hAnsi="Roboto" w:cs="Times New Roman"/>
          <w:b/>
          <w:bCs/>
          <w:color w:val="000000"/>
          <w:sz w:val="21"/>
          <w:szCs w:val="21"/>
          <w:lang w:eastAsia="en-GB"/>
        </w:rPr>
        <w:t>RESULTS</w:t>
      </w:r>
      <w:r w:rsidRPr="004E0963">
        <w:rPr>
          <w:rFonts w:ascii="Roboto" w:eastAsia="Times New Roman" w:hAnsi="Roboto" w:cs="Times New Roman"/>
          <w:color w:val="000000"/>
          <w:sz w:val="21"/>
          <w:szCs w:val="21"/>
          <w:lang w:eastAsia="en-GB"/>
        </w:rPr>
        <w:t xml:space="preserve">: All PPA groups performed significantly worse than controls, showing fewer correct responses and longer reaction times. </w:t>
      </w:r>
      <w:proofErr w:type="spellStart"/>
      <w:r w:rsidRPr="004E0963">
        <w:rPr>
          <w:rFonts w:ascii="Roboto" w:eastAsia="Times New Roman" w:hAnsi="Roboto" w:cs="Times New Roman"/>
          <w:color w:val="000000"/>
          <w:sz w:val="21"/>
          <w:szCs w:val="21"/>
          <w:lang w:eastAsia="en-GB"/>
        </w:rPr>
        <w:t>svPPA</w:t>
      </w:r>
      <w:proofErr w:type="spellEnd"/>
      <w:r w:rsidRPr="004E0963">
        <w:rPr>
          <w:rFonts w:ascii="Roboto" w:eastAsia="Times New Roman" w:hAnsi="Roboto" w:cs="Times New Roman"/>
          <w:color w:val="000000"/>
          <w:sz w:val="21"/>
          <w:szCs w:val="21"/>
          <w:lang w:eastAsia="en-GB"/>
        </w:rPr>
        <w:t xml:space="preserve"> patients exhibited the greatest impairment across all conditions. </w:t>
      </w:r>
      <w:proofErr w:type="spellStart"/>
      <w:r w:rsidRPr="004E0963">
        <w:rPr>
          <w:rFonts w:ascii="Roboto" w:eastAsia="Times New Roman" w:hAnsi="Roboto" w:cs="Times New Roman"/>
          <w:color w:val="000000"/>
          <w:sz w:val="21"/>
          <w:szCs w:val="21"/>
          <w:lang w:eastAsia="en-GB"/>
        </w:rPr>
        <w:t>nfPPA</w:t>
      </w:r>
      <w:proofErr w:type="spellEnd"/>
      <w:r w:rsidRPr="004E0963">
        <w:rPr>
          <w:rFonts w:ascii="Roboto" w:eastAsia="Times New Roman" w:hAnsi="Roboto" w:cs="Times New Roman"/>
          <w:color w:val="000000"/>
          <w:sz w:val="21"/>
          <w:szCs w:val="21"/>
          <w:lang w:eastAsia="en-GB"/>
        </w:rPr>
        <w:t xml:space="preserve"> patients performed similarly to controls with concrete concepts but showed deficits </w:t>
      </w:r>
      <w:r w:rsidRPr="004E0963">
        <w:rPr>
          <w:rFonts w:ascii="Roboto" w:eastAsia="Times New Roman" w:hAnsi="Roboto" w:cs="Times New Roman"/>
          <w:color w:val="000000"/>
          <w:sz w:val="21"/>
          <w:szCs w:val="21"/>
          <w:lang w:eastAsia="en-GB"/>
        </w:rPr>
        <w:lastRenderedPageBreak/>
        <w:t xml:space="preserve">with abstract words. </w:t>
      </w:r>
      <w:proofErr w:type="spellStart"/>
      <w:r w:rsidRPr="004E0963">
        <w:rPr>
          <w:rFonts w:ascii="Roboto" w:eastAsia="Times New Roman" w:hAnsi="Roboto" w:cs="Times New Roman"/>
          <w:color w:val="000000"/>
          <w:sz w:val="21"/>
          <w:szCs w:val="21"/>
          <w:lang w:eastAsia="en-GB"/>
        </w:rPr>
        <w:t>lvPPA</w:t>
      </w:r>
      <w:proofErr w:type="spellEnd"/>
      <w:r w:rsidRPr="004E0963">
        <w:rPr>
          <w:rFonts w:ascii="Roboto" w:eastAsia="Times New Roman" w:hAnsi="Roboto" w:cs="Times New Roman"/>
          <w:color w:val="000000"/>
          <w:sz w:val="21"/>
          <w:szCs w:val="21"/>
          <w:lang w:eastAsia="en-GB"/>
        </w:rPr>
        <w:t xml:space="preserve"> patients experienced greater difficulty under high cognitive demand, particularly with abstract words, indicating impaired semantic control. </w:t>
      </w:r>
      <w:r w:rsidRPr="004E0963">
        <w:rPr>
          <w:rFonts w:ascii="Roboto" w:eastAsia="Times New Roman" w:hAnsi="Roboto" w:cs="Times New Roman"/>
          <w:b/>
          <w:bCs/>
          <w:color w:val="000000"/>
          <w:sz w:val="21"/>
          <w:szCs w:val="21"/>
          <w:lang w:eastAsia="en-GB"/>
        </w:rPr>
        <w:t>DISCUSSION</w:t>
      </w:r>
      <w:r w:rsidRPr="004E0963">
        <w:rPr>
          <w:rFonts w:ascii="Roboto" w:eastAsia="Times New Roman" w:hAnsi="Roboto" w:cs="Times New Roman"/>
          <w:color w:val="000000"/>
          <w:sz w:val="21"/>
          <w:szCs w:val="21"/>
          <w:lang w:eastAsia="en-GB"/>
        </w:rPr>
        <w:t xml:space="preserve">: These findings suggest that </w:t>
      </w:r>
      <w:proofErr w:type="spellStart"/>
      <w:r w:rsidRPr="004E0963">
        <w:rPr>
          <w:rFonts w:ascii="Roboto" w:eastAsia="Times New Roman" w:hAnsi="Roboto" w:cs="Times New Roman"/>
          <w:color w:val="000000"/>
          <w:sz w:val="21"/>
          <w:szCs w:val="21"/>
          <w:lang w:eastAsia="en-GB"/>
        </w:rPr>
        <w:t>svPPA</w:t>
      </w:r>
      <w:proofErr w:type="spellEnd"/>
      <w:r w:rsidRPr="004E0963">
        <w:rPr>
          <w:rFonts w:ascii="Roboto" w:eastAsia="Times New Roman" w:hAnsi="Roboto" w:cs="Times New Roman"/>
          <w:color w:val="000000"/>
          <w:sz w:val="21"/>
          <w:szCs w:val="21"/>
          <w:lang w:eastAsia="en-GB"/>
        </w:rPr>
        <w:t xml:space="preserve"> is characterized by global impairment of conceptual knowledge, whereas </w:t>
      </w:r>
      <w:proofErr w:type="spellStart"/>
      <w:r w:rsidRPr="004E0963">
        <w:rPr>
          <w:rFonts w:ascii="Roboto" w:eastAsia="Times New Roman" w:hAnsi="Roboto" w:cs="Times New Roman"/>
          <w:color w:val="000000"/>
          <w:sz w:val="21"/>
          <w:szCs w:val="21"/>
          <w:lang w:eastAsia="en-GB"/>
        </w:rPr>
        <w:t>nfPPA</w:t>
      </w:r>
      <w:proofErr w:type="spellEnd"/>
      <w:r w:rsidRPr="004E0963">
        <w:rPr>
          <w:rFonts w:ascii="Roboto" w:eastAsia="Times New Roman" w:hAnsi="Roboto" w:cs="Times New Roman"/>
          <w:color w:val="000000"/>
          <w:sz w:val="21"/>
          <w:szCs w:val="21"/>
          <w:lang w:eastAsia="en-GB"/>
        </w:rPr>
        <w:t xml:space="preserve"> and </w:t>
      </w:r>
      <w:proofErr w:type="spellStart"/>
      <w:r w:rsidRPr="004E0963">
        <w:rPr>
          <w:rFonts w:ascii="Roboto" w:eastAsia="Times New Roman" w:hAnsi="Roboto" w:cs="Times New Roman"/>
          <w:color w:val="000000"/>
          <w:sz w:val="21"/>
          <w:szCs w:val="21"/>
          <w:lang w:eastAsia="en-GB"/>
        </w:rPr>
        <w:t>lvPPA</w:t>
      </w:r>
      <w:proofErr w:type="spellEnd"/>
      <w:r w:rsidRPr="004E0963">
        <w:rPr>
          <w:rFonts w:ascii="Roboto" w:eastAsia="Times New Roman" w:hAnsi="Roboto" w:cs="Times New Roman"/>
          <w:color w:val="000000"/>
          <w:sz w:val="21"/>
          <w:szCs w:val="21"/>
          <w:lang w:eastAsia="en-GB"/>
        </w:rPr>
        <w:t xml:space="preserve"> exhibit more selective deficits depending on concept type and cognitive demand. </w:t>
      </w:r>
      <w:r w:rsidRPr="004E0963">
        <w:rPr>
          <w:rFonts w:ascii="Roboto" w:eastAsia="Times New Roman" w:hAnsi="Roboto" w:cs="Times New Roman"/>
          <w:b/>
          <w:bCs/>
          <w:color w:val="000000"/>
          <w:sz w:val="21"/>
          <w:szCs w:val="21"/>
          <w:lang w:eastAsia="en-GB"/>
        </w:rPr>
        <w:t>CONCLUSION</w:t>
      </w:r>
      <w:r w:rsidRPr="004E0963">
        <w:rPr>
          <w:rFonts w:ascii="Roboto" w:eastAsia="Times New Roman" w:hAnsi="Roboto" w:cs="Times New Roman"/>
          <w:color w:val="000000"/>
          <w:sz w:val="21"/>
          <w:szCs w:val="21"/>
          <w:lang w:eastAsia="en-GB"/>
        </w:rPr>
        <w:t>: The research herein highlights the importance of considering cognitive demand and imaginability when assessing semantic cognition in PPA.</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t>Copyright© Bentham Science Publishers; For any queries, please email at </w:t>
      </w:r>
      <w:hyperlink r:id="rId9" w:tgtFrame="_blank" w:history="1">
        <w:r w:rsidRPr="004E0963">
          <w:rPr>
            <w:rFonts w:ascii="Roboto" w:eastAsia="Times New Roman" w:hAnsi="Roboto" w:cs="Times New Roman"/>
            <w:color w:val="0066CC"/>
            <w:sz w:val="21"/>
            <w:szCs w:val="21"/>
            <w:u w:val="single"/>
            <w:lang w:eastAsia="en-GB"/>
          </w:rPr>
          <w:t>epub@benthamscience.net</w:t>
        </w:r>
      </w:hyperlink>
      <w:r w:rsidRPr="004E0963">
        <w:rPr>
          <w:rFonts w:ascii="Roboto" w:eastAsia="Times New Roman" w:hAnsi="Roboto" w:cs="Times New Roman"/>
          <w:color w:val="000000"/>
          <w:sz w:val="21"/>
          <w:szCs w:val="21"/>
          <w:lang w:eastAsia="en-GB"/>
        </w:rPr>
        <w:t>.</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10" w:tgtFrame="_blank" w:history="1">
        <w:r w:rsidRPr="004E0963">
          <w:rPr>
            <w:rFonts w:ascii="Roboto" w:eastAsia="Times New Roman" w:hAnsi="Roboto" w:cs="Times New Roman"/>
            <w:color w:val="0066CC"/>
            <w:sz w:val="21"/>
            <w:szCs w:val="21"/>
            <w:u w:val="single"/>
            <w:lang w:eastAsia="en-GB"/>
          </w:rPr>
          <w:t>https://libkey.io/10.2174/0115672050395866250904102045</w:t>
        </w:r>
      </w:hyperlink>
    </w:p>
    <w:p w14:paraId="09C733C6" w14:textId="6A79556B"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3. </w:t>
      </w:r>
      <w:r w:rsidRPr="004E0963">
        <w:rPr>
          <w:rFonts w:ascii="Roboto" w:eastAsia="Times New Roman" w:hAnsi="Roboto" w:cs="Times New Roman"/>
          <w:b/>
          <w:bCs/>
          <w:color w:val="000000"/>
          <w:sz w:val="21"/>
          <w:szCs w:val="21"/>
          <w:lang w:eastAsia="en-GB"/>
        </w:rPr>
        <w:t>Eight ways speech-language pathologists can contribute to health equity: the case of Black stroke survivors with aphasia.</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xml:space="preserve"> Gadson, </w:t>
      </w:r>
      <w:proofErr w:type="spellStart"/>
      <w:r w:rsidRPr="004E0963">
        <w:rPr>
          <w:rFonts w:ascii="Roboto" w:eastAsia="Times New Roman" w:hAnsi="Roboto" w:cs="Times New Roman"/>
          <w:color w:val="000000"/>
          <w:sz w:val="21"/>
          <w:szCs w:val="21"/>
          <w:lang w:eastAsia="en-GB"/>
        </w:rPr>
        <w:t>Davetrina</w:t>
      </w:r>
      <w:proofErr w:type="spellEnd"/>
      <w:r w:rsidRPr="004E0963">
        <w:rPr>
          <w:rFonts w:ascii="Roboto" w:eastAsia="Times New Roman" w:hAnsi="Roboto" w:cs="Times New Roman"/>
          <w:color w:val="000000"/>
          <w:sz w:val="21"/>
          <w:szCs w:val="21"/>
          <w:lang w:eastAsia="en-GB"/>
        </w:rPr>
        <w:t xml:space="preserve"> S. and </w:t>
      </w:r>
      <w:proofErr w:type="spellStart"/>
      <w:r w:rsidRPr="004E0963">
        <w:rPr>
          <w:rFonts w:ascii="Roboto" w:eastAsia="Times New Roman" w:hAnsi="Roboto" w:cs="Times New Roman"/>
          <w:color w:val="000000"/>
          <w:sz w:val="21"/>
          <w:szCs w:val="21"/>
          <w:lang w:eastAsia="en-GB"/>
        </w:rPr>
        <w:t>Turkeltaub</w:t>
      </w:r>
      <w:proofErr w:type="spellEnd"/>
      <w:r w:rsidRPr="004E0963">
        <w:rPr>
          <w:rFonts w:ascii="Roboto" w:eastAsia="Times New Roman" w:hAnsi="Roboto" w:cs="Times New Roman"/>
          <w:color w:val="000000"/>
          <w:sz w:val="21"/>
          <w:szCs w:val="21"/>
          <w:lang w:eastAsia="en-GB"/>
        </w:rPr>
        <w:t>, Peter E.</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Aphasiology</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Background</w:t>
      </w:r>
      <w:r w:rsidRPr="004E0963">
        <w:rPr>
          <w:rFonts w:ascii="Roboto" w:eastAsia="Times New Roman" w:hAnsi="Roboto" w:cs="Times New Roman"/>
          <w:color w:val="000000"/>
          <w:sz w:val="21"/>
          <w:szCs w:val="21"/>
          <w:lang w:eastAsia="en-GB"/>
        </w:rPr>
        <w:t>: Speech language pathologists (SLPs) play a vital role in service delivery in post stroke aphasia. However, SLPs can potentially perpetuate health disparities due to 1) a lack of training regarding social determinants of health and how they contribute to clinical outcomes and associated disparities and 2) a lack of understanding of the rapidly evolving research related to equity of service provision needed to reduce or eliminate health disparities. </w:t>
      </w:r>
      <w:r w:rsidRPr="004E0963">
        <w:rPr>
          <w:rFonts w:ascii="Roboto" w:eastAsia="Times New Roman" w:hAnsi="Roboto" w:cs="Times New Roman"/>
          <w:b/>
          <w:bCs/>
          <w:color w:val="000000"/>
          <w:sz w:val="21"/>
          <w:szCs w:val="21"/>
          <w:lang w:eastAsia="en-GB"/>
        </w:rPr>
        <w:t>Aims</w:t>
      </w:r>
      <w:r w:rsidRPr="004E0963">
        <w:rPr>
          <w:rFonts w:ascii="Roboto" w:eastAsia="Times New Roman" w:hAnsi="Roboto" w:cs="Times New Roman"/>
          <w:color w:val="000000"/>
          <w:sz w:val="21"/>
          <w:szCs w:val="21"/>
          <w:lang w:eastAsia="en-GB"/>
        </w:rPr>
        <w:t>: This article provides recommendations for individual SLPs and the field more broadly to support health equity for people with aphasia and related disorders. </w:t>
      </w:r>
      <w:r w:rsidRPr="004E0963">
        <w:rPr>
          <w:rFonts w:ascii="Roboto" w:eastAsia="Times New Roman" w:hAnsi="Roboto" w:cs="Times New Roman"/>
          <w:b/>
          <w:bCs/>
          <w:color w:val="000000"/>
          <w:sz w:val="21"/>
          <w:szCs w:val="21"/>
          <w:lang w:eastAsia="en-GB"/>
        </w:rPr>
        <w:t>Methods and Procedures</w:t>
      </w:r>
      <w:r w:rsidRPr="004E0963">
        <w:rPr>
          <w:rFonts w:ascii="Roboto" w:eastAsia="Times New Roman" w:hAnsi="Roboto" w:cs="Times New Roman"/>
          <w:color w:val="000000"/>
          <w:sz w:val="21"/>
          <w:szCs w:val="21"/>
          <w:lang w:eastAsia="en-GB"/>
        </w:rPr>
        <w:t>: We considered evidence-based practices from general healthcare to promote health equity and identified opportunities to apply these practices in the SLP field, focusing on the literature on racial inequities in post-stroke aphasia as an illustrative example. </w:t>
      </w:r>
      <w:r w:rsidRPr="004E0963">
        <w:rPr>
          <w:rFonts w:ascii="Roboto" w:eastAsia="Times New Roman" w:hAnsi="Roboto" w:cs="Times New Roman"/>
          <w:b/>
          <w:bCs/>
          <w:color w:val="000000"/>
          <w:sz w:val="21"/>
          <w:szCs w:val="21"/>
          <w:lang w:eastAsia="en-GB"/>
        </w:rPr>
        <w:t>Outcome and Results</w:t>
      </w:r>
      <w:r w:rsidRPr="004E0963">
        <w:rPr>
          <w:rFonts w:ascii="Roboto" w:eastAsia="Times New Roman" w:hAnsi="Roboto" w:cs="Times New Roman"/>
          <w:color w:val="000000"/>
          <w:sz w:val="21"/>
          <w:szCs w:val="21"/>
          <w:lang w:eastAsia="en-GB"/>
        </w:rPr>
        <w:t>: Lack of diversity in the workforce, lack of training in health disparities and methods to promote health equity, and lack of representation in research may contribute to inequities in healthcare for people with aphasia and other communication disorders. We identified eight recommendations for SLPs to promote health equity for people with aphasia and other communication disorders. </w:t>
      </w:r>
      <w:r w:rsidRPr="004E0963">
        <w:rPr>
          <w:rFonts w:ascii="Roboto" w:eastAsia="Times New Roman" w:hAnsi="Roboto" w:cs="Times New Roman"/>
          <w:b/>
          <w:bCs/>
          <w:color w:val="000000"/>
          <w:sz w:val="21"/>
          <w:szCs w:val="21"/>
          <w:lang w:eastAsia="en-GB"/>
        </w:rPr>
        <w:t>Conclusions</w:t>
      </w:r>
      <w:r w:rsidRPr="004E0963">
        <w:rPr>
          <w:rFonts w:ascii="Roboto" w:eastAsia="Times New Roman" w:hAnsi="Roboto" w:cs="Times New Roman"/>
          <w:color w:val="000000"/>
          <w:sz w:val="21"/>
          <w:szCs w:val="21"/>
          <w:lang w:eastAsia="en-GB"/>
        </w:rPr>
        <w:t>: SLPs should commit to a goal of equity in service delivery. This viewpoint provides actionable recommendations for clinicians, educators, and researchers, for promoting health equity for people with aphasia and related disorders.</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11" w:tgtFrame="_blank" w:history="1">
        <w:r w:rsidRPr="004E0963">
          <w:rPr>
            <w:rFonts w:ascii="Roboto" w:eastAsia="Times New Roman" w:hAnsi="Roboto" w:cs="Times New Roman"/>
            <w:color w:val="0066CC"/>
            <w:sz w:val="21"/>
            <w:szCs w:val="21"/>
            <w:u w:val="single"/>
            <w:lang w:eastAsia="en-GB"/>
          </w:rPr>
          <w:t>https://libkey.io/10.1080/02687038.2025.2561681</w:t>
        </w:r>
      </w:hyperlink>
    </w:p>
    <w:p w14:paraId="3A19D6F9" w14:textId="4F0E1646"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4. </w:t>
      </w:r>
      <w:r w:rsidRPr="004E0963">
        <w:rPr>
          <w:rFonts w:ascii="Roboto" w:eastAsia="Times New Roman" w:hAnsi="Roboto" w:cs="Times New Roman"/>
          <w:b/>
          <w:bCs/>
          <w:color w:val="000000"/>
          <w:sz w:val="21"/>
          <w:szCs w:val="21"/>
          <w:lang w:eastAsia="en-GB"/>
        </w:rPr>
        <w:t>Cognitive Functions Supporting Learning Over Time in Naming Treatment for Aphasia.</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xml:space="preserve"> Goldberg, Emily </w:t>
      </w:r>
      <w:proofErr w:type="spellStart"/>
      <w:r w:rsidRPr="004E0963">
        <w:rPr>
          <w:rFonts w:ascii="Roboto" w:eastAsia="Times New Roman" w:hAnsi="Roboto" w:cs="Times New Roman"/>
          <w:color w:val="000000"/>
          <w:sz w:val="21"/>
          <w:szCs w:val="21"/>
          <w:lang w:eastAsia="en-GB"/>
        </w:rPr>
        <w:t>B.;Hula</w:t>
      </w:r>
      <w:proofErr w:type="spellEnd"/>
      <w:r w:rsidRPr="004E0963">
        <w:rPr>
          <w:rFonts w:ascii="Roboto" w:eastAsia="Times New Roman" w:hAnsi="Roboto" w:cs="Times New Roman"/>
          <w:color w:val="000000"/>
          <w:sz w:val="21"/>
          <w:szCs w:val="21"/>
          <w:lang w:eastAsia="en-GB"/>
        </w:rPr>
        <w:t xml:space="preserve">, William </w:t>
      </w:r>
      <w:proofErr w:type="spellStart"/>
      <w:r w:rsidRPr="004E0963">
        <w:rPr>
          <w:rFonts w:ascii="Roboto" w:eastAsia="Times New Roman" w:hAnsi="Roboto" w:cs="Times New Roman"/>
          <w:color w:val="000000"/>
          <w:sz w:val="21"/>
          <w:szCs w:val="21"/>
          <w:lang w:eastAsia="en-GB"/>
        </w:rPr>
        <w:t>D.;Cavanaugh</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Robert;Swiderski</w:t>
      </w:r>
      <w:proofErr w:type="spellEnd"/>
      <w:r w:rsidRPr="004E0963">
        <w:rPr>
          <w:rFonts w:ascii="Roboto" w:eastAsia="Times New Roman" w:hAnsi="Roboto" w:cs="Times New Roman"/>
          <w:color w:val="000000"/>
          <w:sz w:val="21"/>
          <w:szCs w:val="21"/>
          <w:lang w:eastAsia="en-GB"/>
        </w:rPr>
        <w:t>, Alexander M.;</w:t>
      </w:r>
      <w:proofErr w:type="spellStart"/>
      <w:r w:rsidRPr="004E0963">
        <w:rPr>
          <w:rFonts w:ascii="Roboto" w:eastAsia="Times New Roman" w:hAnsi="Roboto" w:cs="Times New Roman"/>
          <w:color w:val="000000"/>
          <w:sz w:val="21"/>
          <w:szCs w:val="21"/>
          <w:lang w:eastAsia="en-GB"/>
        </w:rPr>
        <w:t>Autenreith</w:t>
      </w:r>
      <w:proofErr w:type="spellEnd"/>
      <w:r w:rsidRPr="004E0963">
        <w:rPr>
          <w:rFonts w:ascii="Roboto" w:eastAsia="Times New Roman" w:hAnsi="Roboto" w:cs="Times New Roman"/>
          <w:color w:val="000000"/>
          <w:sz w:val="21"/>
          <w:szCs w:val="21"/>
          <w:lang w:eastAsia="en-GB"/>
        </w:rPr>
        <w:t>, Alyssa and Dickey, Michael Walsh</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Oct 03 ,2025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Journal of Speech Language &amp; Hearing Research 1-15</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PURPOSE</w:t>
      </w:r>
      <w:r w:rsidRPr="004E0963">
        <w:rPr>
          <w:rFonts w:ascii="Roboto" w:eastAsia="Times New Roman" w:hAnsi="Roboto" w:cs="Times New Roman"/>
          <w:color w:val="000000"/>
          <w:sz w:val="21"/>
          <w:szCs w:val="21"/>
          <w:lang w:eastAsia="en-GB"/>
        </w:rPr>
        <w:t xml:space="preserve">: Aphasia rehabilitation is a learning process that unfolds over time. Previous group studies have examined aphasia treatment response using pre- to posttreatment comparison, largely ignoring the unfolding learning response that occurs session-to-session. We aimed to (a) characterize the shape of learning while individuals </w:t>
      </w:r>
      <w:r w:rsidRPr="004E0963">
        <w:rPr>
          <w:rFonts w:ascii="Roboto" w:eastAsia="Times New Roman" w:hAnsi="Roboto" w:cs="Times New Roman"/>
          <w:color w:val="000000"/>
          <w:sz w:val="21"/>
          <w:szCs w:val="21"/>
          <w:lang w:eastAsia="en-GB"/>
        </w:rPr>
        <w:lastRenderedPageBreak/>
        <w:t>with aphasia received intensive anomia intervention and (b) identify the cognitive predictors of this learning response. </w:t>
      </w:r>
      <w:r w:rsidRPr="004E0963">
        <w:rPr>
          <w:rFonts w:ascii="Roboto" w:eastAsia="Times New Roman" w:hAnsi="Roboto" w:cs="Times New Roman"/>
          <w:b/>
          <w:bCs/>
          <w:color w:val="000000"/>
          <w:sz w:val="21"/>
          <w:szCs w:val="21"/>
          <w:lang w:eastAsia="en-GB"/>
        </w:rPr>
        <w:t>METHOD</w:t>
      </w:r>
      <w:r w:rsidRPr="004E0963">
        <w:rPr>
          <w:rFonts w:ascii="Roboto" w:eastAsia="Times New Roman" w:hAnsi="Roboto" w:cs="Times New Roman"/>
          <w:color w:val="000000"/>
          <w:sz w:val="21"/>
          <w:szCs w:val="21"/>
          <w:lang w:eastAsia="en-GB"/>
        </w:rPr>
        <w:t>: Individuals (</w:t>
      </w:r>
      <w:r w:rsidRPr="004E0963">
        <w:rPr>
          <w:rFonts w:ascii="Roboto" w:eastAsia="Times New Roman" w:hAnsi="Roboto" w:cs="Times New Roman"/>
          <w:i/>
          <w:iCs/>
          <w:color w:val="000000"/>
          <w:sz w:val="21"/>
          <w:szCs w:val="21"/>
          <w:lang w:eastAsia="en-GB"/>
        </w:rPr>
        <w:t>N</w:t>
      </w:r>
      <w:r w:rsidRPr="004E0963">
        <w:rPr>
          <w:rFonts w:ascii="Roboto" w:eastAsia="Times New Roman" w:hAnsi="Roboto" w:cs="Times New Roman"/>
          <w:color w:val="000000"/>
          <w:sz w:val="21"/>
          <w:szCs w:val="21"/>
          <w:lang w:eastAsia="en-GB"/>
        </w:rPr>
        <w:t> = 39) with chronic poststroke aphasia received intensive semantic feature analysis (SFA). Naming accuracy for trained and semantically related, untrained words was probed daily. We used Bayesian generalized linear mixed-effects models to estimate the shape of learning during SFA treatment and to measure the influence of key cognitive functions on treatment response. </w:t>
      </w:r>
      <w:r w:rsidRPr="004E0963">
        <w:rPr>
          <w:rFonts w:ascii="Roboto" w:eastAsia="Times New Roman" w:hAnsi="Roboto" w:cs="Times New Roman"/>
          <w:b/>
          <w:bCs/>
          <w:color w:val="000000"/>
          <w:sz w:val="21"/>
          <w:szCs w:val="21"/>
          <w:lang w:eastAsia="en-GB"/>
        </w:rPr>
        <w:t>RESULTS</w:t>
      </w:r>
      <w:r w:rsidRPr="004E0963">
        <w:rPr>
          <w:rFonts w:ascii="Roboto" w:eastAsia="Times New Roman" w:hAnsi="Roboto" w:cs="Times New Roman"/>
          <w:color w:val="000000"/>
          <w:sz w:val="21"/>
          <w:szCs w:val="21"/>
          <w:lang w:eastAsia="en-GB"/>
        </w:rPr>
        <w:t xml:space="preserve">: Most treatment gains appeared early during treatment, after the first 4 hr of intervention. Verbal recognition and visuospatial memory were associated with the magnitude of those early treatment gains, </w:t>
      </w:r>
      <w:proofErr w:type="spellStart"/>
      <w:r w:rsidRPr="004E0963">
        <w:rPr>
          <w:rFonts w:ascii="Roboto" w:eastAsia="Times New Roman" w:hAnsi="Roboto" w:cs="Times New Roman"/>
          <w:color w:val="000000"/>
          <w:sz w:val="21"/>
          <w:szCs w:val="21"/>
          <w:lang w:eastAsia="en-GB"/>
        </w:rPr>
        <w:t>favoring</w:t>
      </w:r>
      <w:proofErr w:type="spellEnd"/>
      <w:r w:rsidRPr="004E0963">
        <w:rPr>
          <w:rFonts w:ascii="Roboto" w:eastAsia="Times New Roman" w:hAnsi="Roboto" w:cs="Times New Roman"/>
          <w:color w:val="000000"/>
          <w:sz w:val="21"/>
          <w:szCs w:val="21"/>
          <w:lang w:eastAsia="en-GB"/>
        </w:rPr>
        <w:t xml:space="preserve"> strong cognitive performers. Treatment generalization to untrained targets was present but modest, with some evidence suggesting that visuospatial recall performance may be associated with treatment generalization. </w:t>
      </w:r>
      <w:r w:rsidRPr="004E0963">
        <w:rPr>
          <w:rFonts w:ascii="Roboto" w:eastAsia="Times New Roman" w:hAnsi="Roboto" w:cs="Times New Roman"/>
          <w:b/>
          <w:bCs/>
          <w:color w:val="000000"/>
          <w:sz w:val="21"/>
          <w:szCs w:val="21"/>
          <w:lang w:eastAsia="en-GB"/>
        </w:rPr>
        <w:t>CONCLUSIONS</w:t>
      </w:r>
      <w:r w:rsidRPr="004E0963">
        <w:rPr>
          <w:rFonts w:ascii="Roboto" w:eastAsia="Times New Roman" w:hAnsi="Roboto" w:cs="Times New Roman"/>
          <w:color w:val="000000"/>
          <w:sz w:val="21"/>
          <w:szCs w:val="21"/>
          <w:lang w:eastAsia="en-GB"/>
        </w:rPr>
        <w:t>: Monitoring SFA treatment response early could help inform clinicians whether patients will respond optimally to intervention. Verbal recognition and visuospatial recall support learning during treatment, helping elucidate cognitive underpinnings of learning during aphasia rehabilitation. </w:t>
      </w:r>
      <w:r w:rsidRPr="004E0963">
        <w:rPr>
          <w:rFonts w:ascii="Roboto" w:eastAsia="Times New Roman" w:hAnsi="Roboto" w:cs="Times New Roman"/>
          <w:b/>
          <w:bCs/>
          <w:color w:val="000000"/>
          <w:sz w:val="21"/>
          <w:szCs w:val="21"/>
          <w:lang w:eastAsia="en-GB"/>
        </w:rPr>
        <w:t>SUPPLEMENTAL MATERIAL</w:t>
      </w:r>
      <w:r w:rsidRPr="004E0963">
        <w:rPr>
          <w:rFonts w:ascii="Roboto" w:eastAsia="Times New Roman" w:hAnsi="Roboto" w:cs="Times New Roman"/>
          <w:color w:val="000000"/>
          <w:sz w:val="21"/>
          <w:szCs w:val="21"/>
          <w:lang w:eastAsia="en-GB"/>
        </w:rPr>
        <w:t>: </w:t>
      </w:r>
      <w:hyperlink r:id="rId12" w:tgtFrame="_blank" w:history="1">
        <w:r w:rsidRPr="004E0963">
          <w:rPr>
            <w:rFonts w:ascii="Roboto" w:eastAsia="Times New Roman" w:hAnsi="Roboto" w:cs="Times New Roman"/>
            <w:color w:val="0066CC"/>
            <w:sz w:val="21"/>
            <w:szCs w:val="21"/>
            <w:u w:val="single"/>
            <w:lang w:eastAsia="en-GB"/>
          </w:rPr>
          <w:t>https://doi.org/10.23641/asha.30213520.</w:t>
        </w:r>
      </w:hyperlink>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13" w:tgtFrame="_blank" w:history="1">
        <w:r w:rsidRPr="004E0963">
          <w:rPr>
            <w:rFonts w:ascii="Roboto" w:eastAsia="Times New Roman" w:hAnsi="Roboto" w:cs="Times New Roman"/>
            <w:color w:val="0066CC"/>
            <w:sz w:val="21"/>
            <w:szCs w:val="21"/>
            <w:u w:val="single"/>
            <w:lang w:eastAsia="en-GB"/>
          </w:rPr>
          <w:t>https://libkey.io/10.1044/2025_JSLHR-25-00101</w:t>
        </w:r>
      </w:hyperlink>
    </w:p>
    <w:p w14:paraId="0C58D019" w14:textId="0A45BABA"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5. </w:t>
      </w:r>
      <w:r w:rsidRPr="004E0963">
        <w:rPr>
          <w:rFonts w:ascii="Roboto" w:eastAsia="Times New Roman" w:hAnsi="Roboto" w:cs="Times New Roman"/>
          <w:b/>
          <w:bCs/>
          <w:color w:val="000000"/>
          <w:sz w:val="21"/>
          <w:szCs w:val="21"/>
          <w:lang w:eastAsia="en-GB"/>
        </w:rPr>
        <w:t>"I felt really confident to enter the session": a pilot evaluation of a co-designed speech pathologist and interpreter collaboration tool for aphasia therapy.</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w:t>
      </w:r>
      <w:proofErr w:type="spellStart"/>
      <w:r w:rsidRPr="004E0963">
        <w:rPr>
          <w:rFonts w:ascii="Roboto" w:eastAsia="Times New Roman" w:hAnsi="Roboto" w:cs="Times New Roman"/>
          <w:color w:val="000000"/>
          <w:sz w:val="21"/>
          <w:szCs w:val="21"/>
          <w:lang w:eastAsia="en-GB"/>
        </w:rPr>
        <w:t>Larkman</w:t>
      </w:r>
      <w:proofErr w:type="spellEnd"/>
      <w:r w:rsidRPr="004E0963">
        <w:rPr>
          <w:rFonts w:ascii="Roboto" w:eastAsia="Times New Roman" w:hAnsi="Roboto" w:cs="Times New Roman"/>
          <w:color w:val="000000"/>
          <w:sz w:val="21"/>
          <w:szCs w:val="21"/>
          <w:lang w:eastAsia="en-GB"/>
        </w:rPr>
        <w:t xml:space="preserve">, Chelsea </w:t>
      </w:r>
      <w:proofErr w:type="spellStart"/>
      <w:r w:rsidRPr="004E0963">
        <w:rPr>
          <w:rFonts w:ascii="Roboto" w:eastAsia="Times New Roman" w:hAnsi="Roboto" w:cs="Times New Roman"/>
          <w:color w:val="000000"/>
          <w:sz w:val="21"/>
          <w:szCs w:val="21"/>
          <w:lang w:eastAsia="en-GB"/>
        </w:rPr>
        <w:t>S.;Lanyon</w:t>
      </w:r>
      <w:proofErr w:type="spellEnd"/>
      <w:r w:rsidRPr="004E0963">
        <w:rPr>
          <w:rFonts w:ascii="Roboto" w:eastAsia="Times New Roman" w:hAnsi="Roboto" w:cs="Times New Roman"/>
          <w:color w:val="000000"/>
          <w:sz w:val="21"/>
          <w:szCs w:val="21"/>
          <w:lang w:eastAsia="en-GB"/>
        </w:rPr>
        <w:t>, Lucette and Rose, Miranda L.</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Sep 29 ,2025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Disability &amp; Rehabilitation 1-18</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w:t>
      </w:r>
      <w:r w:rsidRPr="004E0963">
        <w:rPr>
          <w:rFonts w:ascii="Roboto" w:eastAsia="Times New Roman" w:hAnsi="Roboto" w:cs="Times New Roman"/>
          <w:color w:val="000000"/>
          <w:sz w:val="21"/>
          <w:szCs w:val="21"/>
          <w:lang w:eastAsia="en-GB"/>
        </w:rPr>
        <w:t xml:space="preserve">PURPOSE: There is a growing need for speech pathologists to provide aphasia therapy to clients with whom they do not share a language or culture. This requires collaboration with interpreters. This study aimed to evaluate the co-designed La Trobe University Aphasia </w:t>
      </w:r>
      <w:proofErr w:type="gramStart"/>
      <w:r w:rsidRPr="004E0963">
        <w:rPr>
          <w:rFonts w:ascii="Roboto" w:eastAsia="Times New Roman" w:hAnsi="Roboto" w:cs="Times New Roman"/>
          <w:color w:val="000000"/>
          <w:sz w:val="21"/>
          <w:szCs w:val="21"/>
          <w:lang w:eastAsia="en-GB"/>
        </w:rPr>
        <w:t>therapy</w:t>
      </w:r>
      <w:proofErr w:type="gramEnd"/>
      <w:r w:rsidRPr="004E0963">
        <w:rPr>
          <w:rFonts w:ascii="Roboto" w:eastAsia="Times New Roman" w:hAnsi="Roboto" w:cs="Times New Roman"/>
          <w:color w:val="000000"/>
          <w:sz w:val="21"/>
          <w:szCs w:val="21"/>
          <w:lang w:eastAsia="en-GB"/>
        </w:rPr>
        <w:t xml:space="preserve"> Collaboration Tool for Speech Pathologists and Interpreters to determine if it can support their interactions to adapt and deliver aphasia therapy. METHODS: Four speech pathologists and four interpreters from a range of language backgrounds, experience levels, workplaces, and genders were recruited. Participants were divided into four dyads involving one speech pathologist and one interpreter. Each dyad engaged in a one-hour, online workshop during which participants role-played a pre-briefing session for an aphasia therapy case study, applying the tool as guidance. Participants were interviewed about their use of the tool. The data were analysed using Framework Analysis. RESULTS: Four themes were identified: 1) mutual engagement promotes active and productive collaboration, 2) engaging in adaptation can be complex and requires additional skills and resources, 3) time is a limited resource, and 4) the tool has multiple benefits. CONCLUSIONS: The tool can support speech pathologists and interpreters collaborating to deliver aphasia therapy. Further refinement would enhance the tool's useability and impact.; plain-language-summary Speech pathologists and interpreters face multiple challenges in their collaboration to adapt and deliver aphasia therapy to culturally and linguistically diverse people with </w:t>
      </w:r>
      <w:proofErr w:type="spellStart"/>
      <w:r w:rsidRPr="004E0963">
        <w:rPr>
          <w:rFonts w:ascii="Roboto" w:eastAsia="Times New Roman" w:hAnsi="Roboto" w:cs="Times New Roman"/>
          <w:color w:val="000000"/>
          <w:sz w:val="21"/>
          <w:szCs w:val="21"/>
          <w:lang w:eastAsia="en-GB"/>
        </w:rPr>
        <w:t>aphasia.Use</w:t>
      </w:r>
      <w:proofErr w:type="spellEnd"/>
      <w:r w:rsidRPr="004E0963">
        <w:rPr>
          <w:rFonts w:ascii="Roboto" w:eastAsia="Times New Roman" w:hAnsi="Roboto" w:cs="Times New Roman"/>
          <w:color w:val="000000"/>
          <w:sz w:val="21"/>
          <w:szCs w:val="21"/>
          <w:lang w:eastAsia="en-GB"/>
        </w:rPr>
        <w:t xml:space="preserve"> of the La Trobe University Aphasia therapy Collaboration Tool for Speech Pathologists and Interpreters (LTU ACT-SPI) has the potential to address identified gaps in knowledge, resources and </w:t>
      </w:r>
      <w:proofErr w:type="spellStart"/>
      <w:r w:rsidRPr="004E0963">
        <w:rPr>
          <w:rFonts w:ascii="Roboto" w:eastAsia="Times New Roman" w:hAnsi="Roboto" w:cs="Times New Roman"/>
          <w:color w:val="000000"/>
          <w:sz w:val="21"/>
          <w:szCs w:val="21"/>
          <w:lang w:eastAsia="en-GB"/>
        </w:rPr>
        <w:t>guidelines.The</w:t>
      </w:r>
      <w:proofErr w:type="spellEnd"/>
      <w:r w:rsidRPr="004E0963">
        <w:rPr>
          <w:rFonts w:ascii="Roboto" w:eastAsia="Times New Roman" w:hAnsi="Roboto" w:cs="Times New Roman"/>
          <w:color w:val="000000"/>
          <w:sz w:val="21"/>
          <w:szCs w:val="21"/>
          <w:lang w:eastAsia="en-GB"/>
        </w:rPr>
        <w:t xml:space="preserve"> LTU ACT-SPI provides structure and process guidance for speech pathologist and interpreter aphasia therapy adaption and collaboration. Language: English</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14" w:tgtFrame="_blank" w:history="1">
        <w:r w:rsidRPr="004E0963">
          <w:rPr>
            <w:rFonts w:ascii="Roboto" w:eastAsia="Times New Roman" w:hAnsi="Roboto" w:cs="Times New Roman"/>
            <w:color w:val="0066CC"/>
            <w:sz w:val="21"/>
            <w:szCs w:val="21"/>
            <w:u w:val="single"/>
            <w:lang w:eastAsia="en-GB"/>
          </w:rPr>
          <w:t>https://libkey.io/10.1080/09638288.2025.2566276</w:t>
        </w:r>
      </w:hyperlink>
    </w:p>
    <w:p w14:paraId="4634070E" w14:textId="301920DA"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6. </w:t>
      </w:r>
      <w:r w:rsidRPr="004E0963">
        <w:rPr>
          <w:rFonts w:ascii="Roboto" w:eastAsia="Times New Roman" w:hAnsi="Roboto" w:cs="Times New Roman"/>
          <w:b/>
          <w:bCs/>
          <w:color w:val="000000"/>
          <w:sz w:val="21"/>
          <w:szCs w:val="21"/>
          <w:lang w:eastAsia="en-GB"/>
        </w:rPr>
        <w:t>Reading and Writing Rehabilitation With Individuals With Aphasia: A Survey of Speech-Language Pathologists' Clinical Practice and Perspectives.</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lastRenderedPageBreak/>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xml:space="preserve"> Madden, Elizabeth </w:t>
      </w:r>
      <w:proofErr w:type="spellStart"/>
      <w:r w:rsidRPr="004E0963">
        <w:rPr>
          <w:rFonts w:ascii="Roboto" w:eastAsia="Times New Roman" w:hAnsi="Roboto" w:cs="Times New Roman"/>
          <w:color w:val="000000"/>
          <w:sz w:val="21"/>
          <w:szCs w:val="21"/>
          <w:lang w:eastAsia="en-GB"/>
        </w:rPr>
        <w:t>B.;Bush</w:t>
      </w:r>
      <w:proofErr w:type="spellEnd"/>
      <w:r w:rsidRPr="004E0963">
        <w:rPr>
          <w:rFonts w:ascii="Roboto" w:eastAsia="Times New Roman" w:hAnsi="Roboto" w:cs="Times New Roman"/>
          <w:color w:val="000000"/>
          <w:sz w:val="21"/>
          <w:szCs w:val="21"/>
          <w:lang w:eastAsia="en-GB"/>
        </w:rPr>
        <w:t xml:space="preserve">, Erin </w:t>
      </w:r>
      <w:proofErr w:type="spellStart"/>
      <w:r w:rsidRPr="004E0963">
        <w:rPr>
          <w:rFonts w:ascii="Roboto" w:eastAsia="Times New Roman" w:hAnsi="Roboto" w:cs="Times New Roman"/>
          <w:color w:val="000000"/>
          <w:sz w:val="21"/>
          <w:szCs w:val="21"/>
          <w:lang w:eastAsia="en-GB"/>
        </w:rPr>
        <w:t>J.;Obermeyer</w:t>
      </w:r>
      <w:proofErr w:type="spellEnd"/>
      <w:r w:rsidRPr="004E0963">
        <w:rPr>
          <w:rFonts w:ascii="Roboto" w:eastAsia="Times New Roman" w:hAnsi="Roboto" w:cs="Times New Roman"/>
          <w:color w:val="000000"/>
          <w:sz w:val="21"/>
          <w:szCs w:val="21"/>
          <w:lang w:eastAsia="en-GB"/>
        </w:rPr>
        <w:t>, Jessica and Willette, Jessica</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Sep 18 ,2025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American Journal of Speech-Language Pathology 1-14</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PURPOSE</w:t>
      </w:r>
      <w:r w:rsidRPr="004E0963">
        <w:rPr>
          <w:rFonts w:ascii="Roboto" w:eastAsia="Times New Roman" w:hAnsi="Roboto" w:cs="Times New Roman"/>
          <w:color w:val="000000"/>
          <w:sz w:val="21"/>
          <w:szCs w:val="21"/>
          <w:lang w:eastAsia="en-GB"/>
        </w:rPr>
        <w:t>: Most individuals with aphasia want to improve their reading and writing, yet these language skills are not typically prioritized in aphasia therapy. This study aimed to better understand speech-language pathologists' clinical practice regarding rehabilitation of reading and writing with clients with aphasia. </w:t>
      </w:r>
      <w:r w:rsidRPr="004E0963">
        <w:rPr>
          <w:rFonts w:ascii="Roboto" w:eastAsia="Times New Roman" w:hAnsi="Roboto" w:cs="Times New Roman"/>
          <w:b/>
          <w:bCs/>
          <w:color w:val="000000"/>
          <w:sz w:val="21"/>
          <w:szCs w:val="21"/>
          <w:lang w:eastAsia="en-GB"/>
        </w:rPr>
        <w:t>METHOD</w:t>
      </w:r>
      <w:r w:rsidRPr="004E0963">
        <w:rPr>
          <w:rFonts w:ascii="Roboto" w:eastAsia="Times New Roman" w:hAnsi="Roboto" w:cs="Times New Roman"/>
          <w:color w:val="000000"/>
          <w:sz w:val="21"/>
          <w:szCs w:val="21"/>
          <w:lang w:eastAsia="en-GB"/>
        </w:rPr>
        <w:t xml:space="preserve">: Twenty-one speech-language pathologists completed an online survey with questions addressing clinical experience, feelings, and therapy approaches surrounding literacy and aphasia. Descriptive statistics were used to </w:t>
      </w:r>
      <w:proofErr w:type="spellStart"/>
      <w:r w:rsidRPr="004E0963">
        <w:rPr>
          <w:rFonts w:ascii="Roboto" w:eastAsia="Times New Roman" w:hAnsi="Roboto" w:cs="Times New Roman"/>
          <w:color w:val="000000"/>
          <w:sz w:val="21"/>
          <w:szCs w:val="21"/>
          <w:lang w:eastAsia="en-GB"/>
        </w:rPr>
        <w:t>analyze</w:t>
      </w:r>
      <w:proofErr w:type="spellEnd"/>
      <w:r w:rsidRPr="004E0963">
        <w:rPr>
          <w:rFonts w:ascii="Roboto" w:eastAsia="Times New Roman" w:hAnsi="Roboto" w:cs="Times New Roman"/>
          <w:color w:val="000000"/>
          <w:sz w:val="21"/>
          <w:szCs w:val="21"/>
          <w:lang w:eastAsia="en-GB"/>
        </w:rPr>
        <w:t xml:space="preserve"> closed-ended responses, and content analysis was performed on open-ended responses. Associations between participant demographics and survey self-ratings were explored. </w:t>
      </w:r>
      <w:r w:rsidRPr="004E0963">
        <w:rPr>
          <w:rFonts w:ascii="Roboto" w:eastAsia="Times New Roman" w:hAnsi="Roboto" w:cs="Times New Roman"/>
          <w:b/>
          <w:bCs/>
          <w:color w:val="000000"/>
          <w:sz w:val="21"/>
          <w:szCs w:val="21"/>
          <w:lang w:eastAsia="en-GB"/>
        </w:rPr>
        <w:t>RESULTS</w:t>
      </w:r>
      <w:r w:rsidRPr="004E0963">
        <w:rPr>
          <w:rFonts w:ascii="Roboto" w:eastAsia="Times New Roman" w:hAnsi="Roboto" w:cs="Times New Roman"/>
          <w:color w:val="000000"/>
          <w:sz w:val="21"/>
          <w:szCs w:val="21"/>
          <w:lang w:eastAsia="en-GB"/>
        </w:rPr>
        <w:t>: Speech-language pathologists indicated that reading and writing are important to address in aphasia therapy, yet many indicated low satisfaction with available assessments and treatments and low confidence in their abilities to address literacy challenges. Most reported observing reading and writing to be problematic for clients with aphasia; however, there was variability in frequency and type of assessments and treatments used to address these concerns. The number of reported clients with aphasia on caseload was significantly correlated with higher confidence and more frequent treatment for reading and writing. </w:t>
      </w:r>
      <w:r w:rsidRPr="004E0963">
        <w:rPr>
          <w:rFonts w:ascii="Roboto" w:eastAsia="Times New Roman" w:hAnsi="Roboto" w:cs="Times New Roman"/>
          <w:b/>
          <w:bCs/>
          <w:color w:val="000000"/>
          <w:sz w:val="21"/>
          <w:szCs w:val="21"/>
          <w:lang w:eastAsia="en-GB"/>
        </w:rPr>
        <w:t>CONCLUSIONS</w:t>
      </w:r>
      <w:r w:rsidRPr="004E0963">
        <w:rPr>
          <w:rFonts w:ascii="Roboto" w:eastAsia="Times New Roman" w:hAnsi="Roboto" w:cs="Times New Roman"/>
          <w:color w:val="000000"/>
          <w:sz w:val="21"/>
          <w:szCs w:val="21"/>
          <w:lang w:eastAsia="en-GB"/>
        </w:rPr>
        <w:t>: Participants agreed it is important to address literacy skills with clients with aphasia; however, many reported low confidence, time constraints, and other barriers interfering with their ability to do so. Research focused on improving educational training opportunities and access to literacy resources for speech-language pathologists is needed to support their clinical care and meet the literacy needs of individuals with aphasia. </w:t>
      </w:r>
      <w:r w:rsidRPr="004E0963">
        <w:rPr>
          <w:rFonts w:ascii="Roboto" w:eastAsia="Times New Roman" w:hAnsi="Roboto" w:cs="Times New Roman"/>
          <w:b/>
          <w:bCs/>
          <w:color w:val="000000"/>
          <w:sz w:val="21"/>
          <w:szCs w:val="21"/>
          <w:lang w:eastAsia="en-GB"/>
        </w:rPr>
        <w:t>SUPPLEMENTAL MATERIAL</w:t>
      </w:r>
      <w:r w:rsidRPr="004E0963">
        <w:rPr>
          <w:rFonts w:ascii="Roboto" w:eastAsia="Times New Roman" w:hAnsi="Roboto" w:cs="Times New Roman"/>
          <w:color w:val="000000"/>
          <w:sz w:val="21"/>
          <w:szCs w:val="21"/>
          <w:lang w:eastAsia="en-GB"/>
        </w:rPr>
        <w:t>: </w:t>
      </w:r>
      <w:hyperlink r:id="rId15" w:tgtFrame="_blank" w:history="1">
        <w:r w:rsidRPr="004E0963">
          <w:rPr>
            <w:rFonts w:ascii="Roboto" w:eastAsia="Times New Roman" w:hAnsi="Roboto" w:cs="Times New Roman"/>
            <w:color w:val="0066CC"/>
            <w:sz w:val="21"/>
            <w:szCs w:val="21"/>
            <w:u w:val="single"/>
            <w:lang w:eastAsia="en-GB"/>
          </w:rPr>
          <w:t>https://doi.org/10.23641/asha.30080956.</w:t>
        </w:r>
      </w:hyperlink>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16" w:tgtFrame="_blank" w:history="1">
        <w:r w:rsidRPr="004E0963">
          <w:rPr>
            <w:rFonts w:ascii="Roboto" w:eastAsia="Times New Roman" w:hAnsi="Roboto" w:cs="Times New Roman"/>
            <w:color w:val="0066CC"/>
            <w:sz w:val="21"/>
            <w:szCs w:val="21"/>
            <w:u w:val="single"/>
            <w:lang w:eastAsia="en-GB"/>
          </w:rPr>
          <w:t>https://libkey.io/10.1044/2025_AJSLP-24-00418</w:t>
        </w:r>
      </w:hyperlink>
    </w:p>
    <w:p w14:paraId="54FF71DC" w14:textId="798F51E5"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7. </w:t>
      </w:r>
      <w:r w:rsidRPr="004E0963">
        <w:rPr>
          <w:rFonts w:ascii="Roboto" w:eastAsia="Times New Roman" w:hAnsi="Roboto" w:cs="Times New Roman"/>
          <w:b/>
          <w:bCs/>
          <w:color w:val="000000"/>
          <w:sz w:val="21"/>
          <w:szCs w:val="21"/>
          <w:lang w:eastAsia="en-GB"/>
        </w:rPr>
        <w:t>"The most important thing is having patience, both of us." Successful conversations from the perspective of people with aphasia and their primary conversation partners.</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Rotherham, A.;</w:t>
      </w:r>
      <w:proofErr w:type="spellStart"/>
      <w:r w:rsidRPr="004E0963">
        <w:rPr>
          <w:rFonts w:ascii="Roboto" w:eastAsia="Times New Roman" w:hAnsi="Roboto" w:cs="Times New Roman"/>
          <w:color w:val="000000"/>
          <w:sz w:val="21"/>
          <w:szCs w:val="21"/>
          <w:lang w:eastAsia="en-GB"/>
        </w:rPr>
        <w:t>Shrubsole</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K.;Croteau</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C.;Hilari</w:t>
      </w:r>
      <w:proofErr w:type="spellEnd"/>
      <w:r w:rsidRPr="004E0963">
        <w:rPr>
          <w:rFonts w:ascii="Roboto" w:eastAsia="Times New Roman" w:hAnsi="Roboto" w:cs="Times New Roman"/>
          <w:color w:val="000000"/>
          <w:sz w:val="21"/>
          <w:szCs w:val="21"/>
          <w:lang w:eastAsia="en-GB"/>
        </w:rPr>
        <w:t>, K. and Wallace, S. J.</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Aug 24 ,2025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Disability &amp; Rehabilitation 1-17</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w:t>
      </w:r>
      <w:r w:rsidRPr="004E0963">
        <w:rPr>
          <w:rFonts w:ascii="Roboto" w:eastAsia="Times New Roman" w:hAnsi="Roboto" w:cs="Times New Roman"/>
          <w:color w:val="000000"/>
          <w:sz w:val="21"/>
          <w:szCs w:val="21"/>
          <w:lang w:eastAsia="en-GB"/>
        </w:rPr>
        <w:t xml:space="preserve">PURPOSE: Improving conversation between a person with aphasia (PWA) and their primary conversation partner (PCP) is a goal of aphasia therapy. However, there are few outcome measurements available that enable conversation success to be measured from the perspective of the target population. This study sought to define the construct of "conversation success" from the perspective of PWA and PCP in the development of a patient-reported outcome measure (PROM) of dyadic conversation. METHODS: PWA (n = 20) and their PCP (n = 19) participated in online focus groups using the nominal group technique. Participants responded to the question, "What makes your conversations successful with your communication partner?" and ranked the three most important items in terms of personal preference. Qualitative content analysis was used to analyse priorities across groups. RESULTS: In eight focus groups, 39 participants generated 190 items describing successful conversation. Five themes were identified: (1) working it out together, (2) having patience, (3) being familiar with your conversation partner, (4) considering the conversation environment, and (5) having a positive attitude and mindset. CONCLUSIONS: </w:t>
      </w:r>
      <w:r w:rsidRPr="004E0963">
        <w:rPr>
          <w:rFonts w:ascii="Roboto" w:eastAsia="Times New Roman" w:hAnsi="Roboto" w:cs="Times New Roman"/>
          <w:color w:val="000000"/>
          <w:sz w:val="21"/>
          <w:szCs w:val="21"/>
          <w:lang w:eastAsia="en-GB"/>
        </w:rPr>
        <w:lastRenderedPageBreak/>
        <w:t xml:space="preserve">The participants conceptualised successful conversation in terms of behaviours, strategies, and feelings. These results will inform the development of a PROM for dyadic conversation in aphasia.; plain-language-summary Aphasia impacts how successful conversations can be for the person with aphasia and their conversation </w:t>
      </w:r>
      <w:proofErr w:type="spellStart"/>
      <w:r w:rsidRPr="004E0963">
        <w:rPr>
          <w:rFonts w:ascii="Roboto" w:eastAsia="Times New Roman" w:hAnsi="Roboto" w:cs="Times New Roman"/>
          <w:color w:val="000000"/>
          <w:sz w:val="21"/>
          <w:szCs w:val="21"/>
          <w:lang w:eastAsia="en-GB"/>
        </w:rPr>
        <w:t>partner.Dyads</w:t>
      </w:r>
      <w:proofErr w:type="spellEnd"/>
      <w:r w:rsidRPr="004E0963">
        <w:rPr>
          <w:rFonts w:ascii="Roboto" w:eastAsia="Times New Roman" w:hAnsi="Roboto" w:cs="Times New Roman"/>
          <w:color w:val="000000"/>
          <w:sz w:val="21"/>
          <w:szCs w:val="21"/>
          <w:lang w:eastAsia="en-GB"/>
        </w:rPr>
        <w:t xml:space="preserve"> with the lived experience of aphasia have strengthened the evidence regarding communication and coping strategies that facilitate successful </w:t>
      </w:r>
      <w:proofErr w:type="spellStart"/>
      <w:r w:rsidRPr="004E0963">
        <w:rPr>
          <w:rFonts w:ascii="Roboto" w:eastAsia="Times New Roman" w:hAnsi="Roboto" w:cs="Times New Roman"/>
          <w:color w:val="000000"/>
          <w:sz w:val="21"/>
          <w:szCs w:val="21"/>
          <w:lang w:eastAsia="en-GB"/>
        </w:rPr>
        <w:t>conversations.Clinicians</w:t>
      </w:r>
      <w:proofErr w:type="spellEnd"/>
      <w:r w:rsidRPr="004E0963">
        <w:rPr>
          <w:rFonts w:ascii="Roboto" w:eastAsia="Times New Roman" w:hAnsi="Roboto" w:cs="Times New Roman"/>
          <w:color w:val="000000"/>
          <w:sz w:val="21"/>
          <w:szCs w:val="21"/>
          <w:lang w:eastAsia="en-GB"/>
        </w:rPr>
        <w:t xml:space="preserve"> providing conversation therapies and communication partner training should focus more directly on coping strategies, attitudes, and mindsets and address the impact of aphasia on conversation and relationships. Language: English</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17" w:tgtFrame="_blank" w:history="1">
        <w:r w:rsidRPr="004E0963">
          <w:rPr>
            <w:rFonts w:ascii="Roboto" w:eastAsia="Times New Roman" w:hAnsi="Roboto" w:cs="Times New Roman"/>
            <w:color w:val="0066CC"/>
            <w:sz w:val="21"/>
            <w:szCs w:val="21"/>
            <w:u w:val="single"/>
            <w:lang w:eastAsia="en-GB"/>
          </w:rPr>
          <w:t>https://libkey.io/10.1080/09638288.2025.2546077</w:t>
        </w:r>
      </w:hyperlink>
    </w:p>
    <w:p w14:paraId="66BFF397" w14:textId="3485515E"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8. </w:t>
      </w:r>
      <w:r w:rsidRPr="004E0963">
        <w:rPr>
          <w:rFonts w:ascii="Roboto" w:eastAsia="Times New Roman" w:hAnsi="Roboto" w:cs="Times New Roman"/>
          <w:b/>
          <w:bCs/>
          <w:color w:val="000000"/>
          <w:sz w:val="21"/>
          <w:szCs w:val="21"/>
          <w:lang w:eastAsia="en-GB"/>
        </w:rPr>
        <w:t xml:space="preserve">Feasibility of delivering </w:t>
      </w:r>
      <w:proofErr w:type="spellStart"/>
      <w:r w:rsidRPr="004E0963">
        <w:rPr>
          <w:rFonts w:ascii="Roboto" w:eastAsia="Times New Roman" w:hAnsi="Roboto" w:cs="Times New Roman"/>
          <w:b/>
          <w:bCs/>
          <w:color w:val="000000"/>
          <w:sz w:val="21"/>
          <w:szCs w:val="21"/>
          <w:lang w:eastAsia="en-GB"/>
        </w:rPr>
        <w:t>TeleCHAT</w:t>
      </w:r>
      <w:proofErr w:type="spellEnd"/>
      <w:r w:rsidRPr="004E0963">
        <w:rPr>
          <w:rFonts w:ascii="Roboto" w:eastAsia="Times New Roman" w:hAnsi="Roboto" w:cs="Times New Roman"/>
          <w:b/>
          <w:bCs/>
          <w:color w:val="000000"/>
          <w:sz w:val="21"/>
          <w:szCs w:val="21"/>
          <w:lang w:eastAsia="en-GB"/>
        </w:rPr>
        <w:t>: A comprehensive high-dose aphasia treatment via telerehabilitation.</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xml:space="preserve"> Vuong, </w:t>
      </w:r>
      <w:proofErr w:type="spellStart"/>
      <w:r w:rsidRPr="004E0963">
        <w:rPr>
          <w:rFonts w:ascii="Roboto" w:eastAsia="Times New Roman" w:hAnsi="Roboto" w:cs="Times New Roman"/>
          <w:color w:val="000000"/>
          <w:sz w:val="21"/>
          <w:szCs w:val="21"/>
          <w:lang w:eastAsia="en-GB"/>
        </w:rPr>
        <w:t>Genevieve;Dignam</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Jade;Burns</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Clare;Copland</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David;Wedley</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Hannah;O'Brien</w:t>
      </w:r>
      <w:proofErr w:type="spellEnd"/>
      <w:r w:rsidRPr="004E0963">
        <w:rPr>
          <w:rFonts w:ascii="Roboto" w:eastAsia="Times New Roman" w:hAnsi="Roboto" w:cs="Times New Roman"/>
          <w:color w:val="000000"/>
          <w:sz w:val="21"/>
          <w:szCs w:val="21"/>
          <w:lang w:eastAsia="en-GB"/>
        </w:rPr>
        <w:t>, Katherine and Hill, Annie J.</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Sep 26 ,2025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Clinical Rehabilitation 2692155251375667</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OBJECTIVE</w:t>
      </w:r>
      <w:r w:rsidRPr="004E0963">
        <w:rPr>
          <w:rFonts w:ascii="Roboto" w:eastAsia="Times New Roman" w:hAnsi="Roboto" w:cs="Times New Roman"/>
          <w:color w:val="000000"/>
          <w:sz w:val="21"/>
          <w:szCs w:val="21"/>
          <w:lang w:eastAsia="en-GB"/>
        </w:rPr>
        <w:t>: To evaluate the feasibility of delivering 50 h of comprehensive, high-dose aphasia treatment via telerehabilitation (</w:t>
      </w:r>
      <w:proofErr w:type="spellStart"/>
      <w:r w:rsidRPr="004E0963">
        <w:rPr>
          <w:rFonts w:ascii="Roboto" w:eastAsia="Times New Roman" w:hAnsi="Roboto" w:cs="Times New Roman"/>
          <w:color w:val="000000"/>
          <w:sz w:val="21"/>
          <w:szCs w:val="21"/>
          <w:lang w:eastAsia="en-GB"/>
        </w:rPr>
        <w:t>TeleCHAT</w:t>
      </w:r>
      <w:proofErr w:type="spellEnd"/>
      <w:r w:rsidRPr="004E0963">
        <w:rPr>
          <w:rFonts w:ascii="Roboto" w:eastAsia="Times New Roman" w:hAnsi="Roboto" w:cs="Times New Roman"/>
          <w:color w:val="000000"/>
          <w:sz w:val="21"/>
          <w:szCs w:val="21"/>
          <w:lang w:eastAsia="en-GB"/>
        </w:rPr>
        <w:t>) to people with aphasia and their support people. </w:t>
      </w:r>
      <w:r w:rsidRPr="004E0963">
        <w:rPr>
          <w:rFonts w:ascii="Roboto" w:eastAsia="Times New Roman" w:hAnsi="Roboto" w:cs="Times New Roman"/>
          <w:b/>
          <w:bCs/>
          <w:color w:val="000000"/>
          <w:sz w:val="21"/>
          <w:szCs w:val="21"/>
          <w:lang w:eastAsia="en-GB"/>
        </w:rPr>
        <w:t>DESIGN</w:t>
      </w:r>
      <w:r w:rsidRPr="004E0963">
        <w:rPr>
          <w:rFonts w:ascii="Roboto" w:eastAsia="Times New Roman" w:hAnsi="Roboto" w:cs="Times New Roman"/>
          <w:color w:val="000000"/>
          <w:sz w:val="21"/>
          <w:szCs w:val="21"/>
          <w:lang w:eastAsia="en-GB"/>
        </w:rPr>
        <w:t>: A non-randomised one-armed quasi-experimental pre-post feasibility study. </w:t>
      </w:r>
      <w:r w:rsidRPr="004E0963">
        <w:rPr>
          <w:rFonts w:ascii="Roboto" w:eastAsia="Times New Roman" w:hAnsi="Roboto" w:cs="Times New Roman"/>
          <w:b/>
          <w:bCs/>
          <w:color w:val="000000"/>
          <w:sz w:val="21"/>
          <w:szCs w:val="21"/>
          <w:lang w:eastAsia="en-GB"/>
        </w:rPr>
        <w:t>SETTING</w:t>
      </w:r>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TeleCHAT</w:t>
      </w:r>
      <w:proofErr w:type="spellEnd"/>
      <w:r w:rsidRPr="004E0963">
        <w:rPr>
          <w:rFonts w:ascii="Roboto" w:eastAsia="Times New Roman" w:hAnsi="Roboto" w:cs="Times New Roman"/>
          <w:color w:val="000000"/>
          <w:sz w:val="21"/>
          <w:szCs w:val="21"/>
          <w:lang w:eastAsia="en-GB"/>
        </w:rPr>
        <w:t xml:space="preserve"> was delivered from dedicated tele-suites in university spaces within a tertiary hospital. Participants received therapy in their homes via telerehabilitation using a configured telerehabilitation system which used videoconferencing software Zoom</w:t>
      </w:r>
      <w:r w:rsidRPr="004E0963">
        <w:rPr>
          <w:rFonts w:ascii="Roboto" w:eastAsia="Times New Roman" w:hAnsi="Roboto" w:cs="Times New Roman"/>
          <w:color w:val="000000"/>
          <w:sz w:val="16"/>
          <w:szCs w:val="16"/>
          <w:vertAlign w:val="superscript"/>
          <w:lang w:eastAsia="en-GB"/>
        </w:rPr>
        <w:t> R</w:t>
      </w:r>
      <w:r w:rsidRPr="004E0963">
        <w:rPr>
          <w:rFonts w:ascii="Roboto" w:eastAsia="Times New Roman" w:hAnsi="Roboto" w:cs="Times New Roman"/>
          <w:color w:val="000000"/>
          <w:sz w:val="21"/>
          <w:szCs w:val="21"/>
          <w:lang w:eastAsia="en-GB"/>
        </w:rPr>
        <w:t>. </w:t>
      </w:r>
      <w:r w:rsidRPr="004E0963">
        <w:rPr>
          <w:rFonts w:ascii="Roboto" w:eastAsia="Times New Roman" w:hAnsi="Roboto" w:cs="Times New Roman"/>
          <w:b/>
          <w:bCs/>
          <w:color w:val="000000"/>
          <w:sz w:val="21"/>
          <w:szCs w:val="21"/>
          <w:lang w:eastAsia="en-GB"/>
        </w:rPr>
        <w:t>PARTICIPANTS</w:t>
      </w:r>
      <w:r w:rsidRPr="004E0963">
        <w:rPr>
          <w:rFonts w:ascii="Roboto" w:eastAsia="Times New Roman" w:hAnsi="Roboto" w:cs="Times New Roman"/>
          <w:color w:val="000000"/>
          <w:sz w:val="21"/>
          <w:szCs w:val="21"/>
          <w:lang w:eastAsia="en-GB"/>
        </w:rPr>
        <w:t>: Three cohorts of people with aphasia (</w:t>
      </w:r>
      <w:r w:rsidRPr="004E0963">
        <w:rPr>
          <w:rFonts w:ascii="Roboto" w:eastAsia="Times New Roman" w:hAnsi="Roboto" w:cs="Times New Roman"/>
          <w:i/>
          <w:iCs/>
          <w:color w:val="000000"/>
          <w:sz w:val="21"/>
          <w:szCs w:val="21"/>
          <w:lang w:eastAsia="en-GB"/>
        </w:rPr>
        <w:t>n</w:t>
      </w:r>
      <w:r w:rsidRPr="004E0963">
        <w:rPr>
          <w:rFonts w:ascii="Roboto" w:eastAsia="Times New Roman" w:hAnsi="Roboto" w:cs="Times New Roman"/>
          <w:color w:val="000000"/>
          <w:sz w:val="21"/>
          <w:szCs w:val="21"/>
          <w:lang w:eastAsia="en-GB"/>
        </w:rPr>
        <w:t> = 12), support people (</w:t>
      </w:r>
      <w:r w:rsidRPr="004E0963">
        <w:rPr>
          <w:rFonts w:ascii="Roboto" w:eastAsia="Times New Roman" w:hAnsi="Roboto" w:cs="Times New Roman"/>
          <w:i/>
          <w:iCs/>
          <w:color w:val="000000"/>
          <w:sz w:val="21"/>
          <w:szCs w:val="21"/>
          <w:lang w:eastAsia="en-GB"/>
        </w:rPr>
        <w:t>n</w:t>
      </w:r>
      <w:r w:rsidRPr="004E0963">
        <w:rPr>
          <w:rFonts w:ascii="Roboto" w:eastAsia="Times New Roman" w:hAnsi="Roboto" w:cs="Times New Roman"/>
          <w:color w:val="000000"/>
          <w:sz w:val="21"/>
          <w:szCs w:val="21"/>
          <w:lang w:eastAsia="en-GB"/>
        </w:rPr>
        <w:t> = 11), and speech-language pathologists (</w:t>
      </w:r>
      <w:r w:rsidRPr="004E0963">
        <w:rPr>
          <w:rFonts w:ascii="Roboto" w:eastAsia="Times New Roman" w:hAnsi="Roboto" w:cs="Times New Roman"/>
          <w:i/>
          <w:iCs/>
          <w:color w:val="000000"/>
          <w:sz w:val="21"/>
          <w:szCs w:val="21"/>
          <w:lang w:eastAsia="en-GB"/>
        </w:rPr>
        <w:t>n</w:t>
      </w:r>
      <w:r w:rsidRPr="004E0963">
        <w:rPr>
          <w:rFonts w:ascii="Roboto" w:eastAsia="Times New Roman" w:hAnsi="Roboto" w:cs="Times New Roman"/>
          <w:color w:val="000000"/>
          <w:sz w:val="21"/>
          <w:szCs w:val="21"/>
          <w:lang w:eastAsia="en-GB"/>
        </w:rPr>
        <w:t> = 2) participated. </w:t>
      </w:r>
      <w:r w:rsidRPr="004E0963">
        <w:rPr>
          <w:rFonts w:ascii="Roboto" w:eastAsia="Times New Roman" w:hAnsi="Roboto" w:cs="Times New Roman"/>
          <w:b/>
          <w:bCs/>
          <w:color w:val="000000"/>
          <w:sz w:val="21"/>
          <w:szCs w:val="21"/>
          <w:lang w:eastAsia="en-GB"/>
        </w:rPr>
        <w:t>INTERVENTION</w:t>
      </w:r>
      <w:r w:rsidRPr="004E0963">
        <w:rPr>
          <w:rFonts w:ascii="Roboto" w:eastAsia="Times New Roman" w:hAnsi="Roboto" w:cs="Times New Roman"/>
          <w:color w:val="000000"/>
          <w:sz w:val="21"/>
          <w:szCs w:val="21"/>
          <w:lang w:eastAsia="en-GB"/>
        </w:rPr>
        <w:t xml:space="preserve">: Participants completed technology training, goal setting, and clinical treatment planning prior to the intervention. The </w:t>
      </w:r>
      <w:proofErr w:type="spellStart"/>
      <w:r w:rsidRPr="004E0963">
        <w:rPr>
          <w:rFonts w:ascii="Roboto" w:eastAsia="Times New Roman" w:hAnsi="Roboto" w:cs="Times New Roman"/>
          <w:color w:val="000000"/>
          <w:sz w:val="21"/>
          <w:szCs w:val="21"/>
          <w:lang w:eastAsia="en-GB"/>
        </w:rPr>
        <w:t>TeleCHAT</w:t>
      </w:r>
      <w:proofErr w:type="spellEnd"/>
      <w:r w:rsidRPr="004E0963">
        <w:rPr>
          <w:rFonts w:ascii="Roboto" w:eastAsia="Times New Roman" w:hAnsi="Roboto" w:cs="Times New Roman"/>
          <w:color w:val="000000"/>
          <w:sz w:val="21"/>
          <w:szCs w:val="21"/>
          <w:lang w:eastAsia="en-GB"/>
        </w:rPr>
        <w:t xml:space="preserve"> intervention included 50 h of goal-directed aphasia therapy, delivered 3-5 days per week over 8 weeks. </w:t>
      </w:r>
      <w:r w:rsidRPr="004E0963">
        <w:rPr>
          <w:rFonts w:ascii="Roboto" w:eastAsia="Times New Roman" w:hAnsi="Roboto" w:cs="Times New Roman"/>
          <w:b/>
          <w:bCs/>
          <w:color w:val="000000"/>
          <w:sz w:val="21"/>
          <w:szCs w:val="21"/>
          <w:lang w:eastAsia="en-GB"/>
        </w:rPr>
        <w:t>MAIN MEASURES</w:t>
      </w:r>
      <w:r w:rsidRPr="004E0963">
        <w:rPr>
          <w:rFonts w:ascii="Roboto" w:eastAsia="Times New Roman" w:hAnsi="Roboto" w:cs="Times New Roman"/>
          <w:color w:val="000000"/>
          <w:sz w:val="21"/>
          <w:szCs w:val="21"/>
          <w:lang w:eastAsia="en-GB"/>
        </w:rPr>
        <w:t>: Mixed-methods data was collected on participant demographics, aphasia profiles, achievement of dose, comprehensiveness of therapy, and support people participation. </w:t>
      </w:r>
      <w:r w:rsidRPr="004E0963">
        <w:rPr>
          <w:rFonts w:ascii="Roboto" w:eastAsia="Times New Roman" w:hAnsi="Roboto" w:cs="Times New Roman"/>
          <w:b/>
          <w:bCs/>
          <w:color w:val="000000"/>
          <w:sz w:val="21"/>
          <w:szCs w:val="21"/>
          <w:lang w:eastAsia="en-GB"/>
        </w:rPr>
        <w:t>RESULTS</w:t>
      </w:r>
      <w:r w:rsidRPr="004E0963">
        <w:rPr>
          <w:rFonts w:ascii="Roboto" w:eastAsia="Times New Roman" w:hAnsi="Roboto" w:cs="Times New Roman"/>
          <w:color w:val="000000"/>
          <w:sz w:val="21"/>
          <w:szCs w:val="21"/>
          <w:lang w:eastAsia="en-GB"/>
        </w:rPr>
        <w:t xml:space="preserve">: A diverse group of people with aphasia completed </w:t>
      </w:r>
      <w:proofErr w:type="spellStart"/>
      <w:r w:rsidRPr="004E0963">
        <w:rPr>
          <w:rFonts w:ascii="Roboto" w:eastAsia="Times New Roman" w:hAnsi="Roboto" w:cs="Times New Roman"/>
          <w:color w:val="000000"/>
          <w:sz w:val="21"/>
          <w:szCs w:val="21"/>
          <w:lang w:eastAsia="en-GB"/>
        </w:rPr>
        <w:t>TeleCHAT</w:t>
      </w:r>
      <w:proofErr w:type="spellEnd"/>
      <w:r w:rsidRPr="004E0963">
        <w:rPr>
          <w:rFonts w:ascii="Roboto" w:eastAsia="Times New Roman" w:hAnsi="Roboto" w:cs="Times New Roman"/>
          <w:color w:val="000000"/>
          <w:sz w:val="21"/>
          <w:szCs w:val="21"/>
          <w:lang w:eastAsia="en-GB"/>
        </w:rPr>
        <w:t>. Nine participants received the intended dose of 50 h, with the remaining three closely approaching dose. A high proportion of sessions were spent actively engaged in therapeutic tasks (94-100%). A comprehensive array of 42 therapy activities was delivered and tailored to goals across the International Classification of Functioning, Disability and Health Framework. All participants had a support person participate actively in at least one session. </w:t>
      </w:r>
      <w:r w:rsidRPr="004E0963">
        <w:rPr>
          <w:rFonts w:ascii="Roboto" w:eastAsia="Times New Roman" w:hAnsi="Roboto" w:cs="Times New Roman"/>
          <w:b/>
          <w:bCs/>
          <w:color w:val="000000"/>
          <w:sz w:val="21"/>
          <w:szCs w:val="21"/>
          <w:lang w:eastAsia="en-GB"/>
        </w:rPr>
        <w:t>CONCLUSIONS</w:t>
      </w:r>
      <w:r w:rsidRPr="004E0963">
        <w:rPr>
          <w:rFonts w:ascii="Roboto" w:eastAsia="Times New Roman" w:hAnsi="Roboto" w:cs="Times New Roman"/>
          <w:color w:val="000000"/>
          <w:sz w:val="21"/>
          <w:szCs w:val="21"/>
          <w:lang w:eastAsia="en-GB"/>
        </w:rPr>
        <w:t xml:space="preserve">: It was feasible to deliver the core components of the </w:t>
      </w:r>
      <w:proofErr w:type="spellStart"/>
      <w:r w:rsidRPr="004E0963">
        <w:rPr>
          <w:rFonts w:ascii="Roboto" w:eastAsia="Times New Roman" w:hAnsi="Roboto" w:cs="Times New Roman"/>
          <w:color w:val="000000"/>
          <w:sz w:val="21"/>
          <w:szCs w:val="21"/>
          <w:lang w:eastAsia="en-GB"/>
        </w:rPr>
        <w:t>TeleCHAT</w:t>
      </w:r>
      <w:proofErr w:type="spellEnd"/>
      <w:r w:rsidRPr="004E0963">
        <w:rPr>
          <w:rFonts w:ascii="Roboto" w:eastAsia="Times New Roman" w:hAnsi="Roboto" w:cs="Times New Roman"/>
          <w:color w:val="000000"/>
          <w:sz w:val="21"/>
          <w:szCs w:val="21"/>
          <w:lang w:eastAsia="en-GB"/>
        </w:rPr>
        <w:t xml:space="preserve"> programme via telerehabilitation. As intended, a heterogeneous group of people with aphasia received a high-dose of tailored, comprehensive aphasia therapy, with the active participation of support people.</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18" w:tgtFrame="_blank" w:history="1">
        <w:r w:rsidRPr="004E0963">
          <w:rPr>
            <w:rFonts w:ascii="Roboto" w:eastAsia="Times New Roman" w:hAnsi="Roboto" w:cs="Times New Roman"/>
            <w:color w:val="0066CC"/>
            <w:sz w:val="21"/>
            <w:szCs w:val="21"/>
            <w:u w:val="single"/>
            <w:lang w:eastAsia="en-GB"/>
          </w:rPr>
          <w:t>https://libkey.io/10.1177/02692155251375667</w:t>
        </w:r>
      </w:hyperlink>
    </w:p>
    <w:p w14:paraId="6CF0CC8F" w14:textId="77777777"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9. </w:t>
      </w:r>
      <w:r w:rsidRPr="004E0963">
        <w:rPr>
          <w:rFonts w:ascii="Roboto" w:eastAsia="Times New Roman" w:hAnsi="Roboto" w:cs="Times New Roman"/>
          <w:b/>
          <w:bCs/>
          <w:color w:val="000000"/>
          <w:sz w:val="21"/>
          <w:szCs w:val="21"/>
          <w:lang w:eastAsia="en-GB"/>
        </w:rPr>
        <w:t>Naming practice effects and inconsistencies relate to treatment outcome in people with aphasia.</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w:t>
      </w:r>
      <w:proofErr w:type="spellStart"/>
      <w:r w:rsidRPr="004E0963">
        <w:rPr>
          <w:rFonts w:ascii="Roboto" w:eastAsia="Times New Roman" w:hAnsi="Roboto" w:cs="Times New Roman"/>
          <w:color w:val="000000"/>
          <w:sz w:val="21"/>
          <w:szCs w:val="21"/>
          <w:lang w:eastAsia="en-GB"/>
        </w:rPr>
        <w:t>Wilmskoetter</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Janina;Blackwood</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Katherine;Kristinsson</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Sigfus;Walker</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Grant;Fridriksson</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Julius;Blackett</w:t>
      </w:r>
      <w:proofErr w:type="spellEnd"/>
      <w:r w:rsidRPr="004E0963">
        <w:rPr>
          <w:rFonts w:ascii="Roboto" w:eastAsia="Times New Roman" w:hAnsi="Roboto" w:cs="Times New Roman"/>
          <w:color w:val="000000"/>
          <w:sz w:val="21"/>
          <w:szCs w:val="21"/>
          <w:lang w:eastAsia="en-GB"/>
        </w:rPr>
        <w:t xml:space="preserve">, Deena </w:t>
      </w:r>
      <w:proofErr w:type="spellStart"/>
      <w:r w:rsidRPr="004E0963">
        <w:rPr>
          <w:rFonts w:ascii="Roboto" w:eastAsia="Times New Roman" w:hAnsi="Roboto" w:cs="Times New Roman"/>
          <w:color w:val="000000"/>
          <w:sz w:val="21"/>
          <w:szCs w:val="21"/>
          <w:lang w:eastAsia="en-GB"/>
        </w:rPr>
        <w:t>Schwen;den</w:t>
      </w:r>
      <w:proofErr w:type="spellEnd"/>
      <w:r w:rsidRPr="004E0963">
        <w:rPr>
          <w:rFonts w:ascii="Roboto" w:eastAsia="Times New Roman" w:hAnsi="Roboto" w:cs="Times New Roman"/>
          <w:color w:val="000000"/>
          <w:sz w:val="21"/>
          <w:szCs w:val="21"/>
          <w:lang w:eastAsia="en-GB"/>
        </w:rPr>
        <w:t xml:space="preserve"> Ouden, Dirk B.;</w:t>
      </w:r>
      <w:proofErr w:type="spellStart"/>
      <w:r w:rsidRPr="004E0963">
        <w:rPr>
          <w:rFonts w:ascii="Roboto" w:eastAsia="Times New Roman" w:hAnsi="Roboto" w:cs="Times New Roman"/>
          <w:color w:val="000000"/>
          <w:sz w:val="21"/>
          <w:szCs w:val="21"/>
          <w:lang w:eastAsia="en-GB"/>
        </w:rPr>
        <w:t>Rorden</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Chris;Hillis</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Argye</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E.;Hickok</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Gregory;Sayers</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Sara;Spell</w:t>
      </w:r>
      <w:proofErr w:type="spellEnd"/>
      <w:r w:rsidRPr="004E0963">
        <w:rPr>
          <w:rFonts w:ascii="Roboto" w:eastAsia="Times New Roman" w:hAnsi="Roboto" w:cs="Times New Roman"/>
          <w:color w:val="000000"/>
          <w:sz w:val="21"/>
          <w:szCs w:val="21"/>
          <w:lang w:eastAsia="en-GB"/>
        </w:rPr>
        <w:t>, Leigh Ann and Bonilha, Leonardo</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Sep 13 ,2025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lastRenderedPageBreak/>
        <w:br/>
      </w:r>
      <w:r w:rsidRPr="004E0963">
        <w:rPr>
          <w:rFonts w:ascii="Roboto" w:eastAsia="Times New Roman" w:hAnsi="Roboto" w:cs="Times New Roman"/>
          <w:b/>
          <w:bCs/>
          <w:color w:val="000000"/>
          <w:sz w:val="21"/>
          <w:szCs w:val="21"/>
          <w:lang w:eastAsia="en-GB"/>
        </w:rPr>
        <w:t>Journal: </w:t>
      </w:r>
      <w:proofErr w:type="spellStart"/>
      <w:r w:rsidRPr="004E0963">
        <w:rPr>
          <w:rFonts w:ascii="Roboto" w:eastAsia="Times New Roman" w:hAnsi="Roboto" w:cs="Times New Roman"/>
          <w:color w:val="000000"/>
          <w:sz w:val="21"/>
          <w:szCs w:val="21"/>
          <w:lang w:eastAsia="en-GB"/>
        </w:rPr>
        <w:t>Neuropsychologia</w:t>
      </w:r>
      <w:proofErr w:type="spellEnd"/>
      <w:r w:rsidRPr="004E0963">
        <w:rPr>
          <w:rFonts w:ascii="Roboto" w:eastAsia="Times New Roman" w:hAnsi="Roboto" w:cs="Times New Roman"/>
          <w:color w:val="000000"/>
          <w:sz w:val="21"/>
          <w:szCs w:val="21"/>
          <w:lang w:eastAsia="en-GB"/>
        </w:rPr>
        <w:t xml:space="preserve"> 219, pp. 109271</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BACKGROUND AND AIMS</w:t>
      </w:r>
      <w:r w:rsidRPr="004E0963">
        <w:rPr>
          <w:rFonts w:ascii="Roboto" w:eastAsia="Times New Roman" w:hAnsi="Roboto" w:cs="Times New Roman"/>
          <w:color w:val="000000"/>
          <w:sz w:val="21"/>
          <w:szCs w:val="21"/>
          <w:lang w:eastAsia="en-GB"/>
        </w:rPr>
        <w:t>: Intra-individual variability in language performance has been proposed as a factor associated with treatment outcomes in chronic aphasia. However, the nature of linguistic variability and the degree to which it informs therapeutic success remains poorly understood. In this study, we sought to (1) assess person- and item-level factors associated with naming variability, practice effects, and item-based inconsistencies, (2) determine the relation between intra-individual naming variability, practice effects, and item-based inconsistencies at baseline and treatment outcome in aphasia, and (3) determine the treatment impact on the change in variability and consistency of naming responses. </w:t>
      </w:r>
      <w:r w:rsidRPr="004E0963">
        <w:rPr>
          <w:rFonts w:ascii="Roboto" w:eastAsia="Times New Roman" w:hAnsi="Roboto" w:cs="Times New Roman"/>
          <w:b/>
          <w:bCs/>
          <w:color w:val="000000"/>
          <w:sz w:val="21"/>
          <w:szCs w:val="21"/>
          <w:lang w:eastAsia="en-GB"/>
        </w:rPr>
        <w:t>METHOD</w:t>
      </w:r>
      <w:r w:rsidRPr="004E0963">
        <w:rPr>
          <w:rFonts w:ascii="Roboto" w:eastAsia="Times New Roman" w:hAnsi="Roboto" w:cs="Times New Roman"/>
          <w:color w:val="000000"/>
          <w:sz w:val="21"/>
          <w:szCs w:val="21"/>
          <w:lang w:eastAsia="en-GB"/>
        </w:rPr>
        <w:t xml:space="preserve">: Seventy-eight participants with chronic (&gt;6 months post-stroke) aphasia after a unilateral left-hemisphere stroke completed the Philadelphia Naming Test (PNT) twice over two consecutive days prior (at baseline) to receiving six weeks of lexical processing treatment. For each participant, we calculated the absolute difference in correctly named items between the two PNTs at baseline (which we termed "naming variability") and the change from the first to second PNT at baseline (which we termed "naming practice effect"). Further, we classified participants' naming responses for each item on the two PNTs as correct-correct, one-correct, and incorrect-incorrect. One-correct responses reflected intra-individual naming inconsistencies for the same item across the two baseline PNTs (which we termed "naming inconsistencies"). We assessed the relationship between naming variability, practice effects, inconsistencies, and person-level factors (aphasia severity, aphasia type, apraxia of speech, stroke severity, age, education), item-level factors (word frequency, length, phonological </w:t>
      </w:r>
      <w:proofErr w:type="spellStart"/>
      <w:r w:rsidRPr="004E0963">
        <w:rPr>
          <w:rFonts w:ascii="Roboto" w:eastAsia="Times New Roman" w:hAnsi="Roboto" w:cs="Times New Roman"/>
          <w:color w:val="000000"/>
          <w:sz w:val="21"/>
          <w:szCs w:val="21"/>
          <w:lang w:eastAsia="en-GB"/>
        </w:rPr>
        <w:t>neighborhood</w:t>
      </w:r>
      <w:proofErr w:type="spellEnd"/>
      <w:r w:rsidRPr="004E0963">
        <w:rPr>
          <w:rFonts w:ascii="Roboto" w:eastAsia="Times New Roman" w:hAnsi="Roboto" w:cs="Times New Roman"/>
          <w:color w:val="000000"/>
          <w:sz w:val="21"/>
          <w:szCs w:val="21"/>
          <w:lang w:eastAsia="en-GB"/>
        </w:rPr>
        <w:t xml:space="preserve"> density), treatment response (the change in the rate of correct responses from before to after treatment). </w:t>
      </w:r>
      <w:r w:rsidRPr="004E0963">
        <w:rPr>
          <w:rFonts w:ascii="Roboto" w:eastAsia="Times New Roman" w:hAnsi="Roboto" w:cs="Times New Roman"/>
          <w:b/>
          <w:bCs/>
          <w:color w:val="000000"/>
          <w:sz w:val="21"/>
          <w:szCs w:val="21"/>
          <w:lang w:eastAsia="en-GB"/>
        </w:rPr>
        <w:t>RESULTS</w:t>
      </w:r>
      <w:r w:rsidRPr="004E0963">
        <w:rPr>
          <w:rFonts w:ascii="Roboto" w:eastAsia="Times New Roman" w:hAnsi="Roboto" w:cs="Times New Roman"/>
          <w:color w:val="000000"/>
          <w:sz w:val="21"/>
          <w:szCs w:val="21"/>
          <w:lang w:eastAsia="en-GB"/>
        </w:rPr>
        <w:t>: The rate of correct naming responses on the two baseline PNTs did not statistically differ across the 78 participants; thus, there was no significant practice effect. However, variability and inconsistencies were common, with a difference of up to 17 % in correctly named items and up to 45 % of the same items named once correctly and once incorrectly between the two baseline PNTs. Naming variability was significantly related to aphasia type and severity, and inconsistencies were related to aphasia type, severity, the presence of apraxia of speech, and target word frequency. While naming variability was not associated with treatment outcome, practice effects and inconsistencies at baseline were significantly associated with treatment outcome and explained 36 % and 6 % of the variance in the change in the rate of correct responses from before to after treatment, respectively. Using 5-fold cross-validation, practice effects and inconsistencies had a coefficient of determination (R</w:t>
      </w:r>
      <w:r w:rsidRPr="004E0963">
        <w:rPr>
          <w:rFonts w:ascii="Roboto" w:eastAsia="Times New Roman" w:hAnsi="Roboto" w:cs="Times New Roman"/>
          <w:color w:val="000000"/>
          <w:sz w:val="16"/>
          <w:szCs w:val="16"/>
          <w:vertAlign w:val="superscript"/>
          <w:lang w:eastAsia="en-GB"/>
        </w:rPr>
        <w:t>2</w:t>
      </w:r>
      <w:r w:rsidRPr="004E0963">
        <w:rPr>
          <w:rFonts w:ascii="Roboto" w:eastAsia="Times New Roman" w:hAnsi="Roboto" w:cs="Times New Roman"/>
          <w:color w:val="000000"/>
          <w:sz w:val="21"/>
          <w:szCs w:val="21"/>
          <w:lang w:eastAsia="en-GB"/>
        </w:rPr>
        <w:t>) of 0.32 and 0, respectively, for predicted vs actual responses. After treatment, naming variability and inconsistencies significantly decreased, counterbalanced by an increase in consistently correctly named items. </w:t>
      </w:r>
      <w:r w:rsidRPr="004E0963">
        <w:rPr>
          <w:rFonts w:ascii="Roboto" w:eastAsia="Times New Roman" w:hAnsi="Roboto" w:cs="Times New Roman"/>
          <w:b/>
          <w:bCs/>
          <w:color w:val="000000"/>
          <w:sz w:val="21"/>
          <w:szCs w:val="21"/>
          <w:lang w:eastAsia="en-GB"/>
        </w:rPr>
        <w:t>DISCUSSION</w:t>
      </w:r>
      <w:r w:rsidRPr="004E0963">
        <w:rPr>
          <w:rFonts w:ascii="Roboto" w:eastAsia="Times New Roman" w:hAnsi="Roboto" w:cs="Times New Roman"/>
          <w:color w:val="000000"/>
          <w:sz w:val="21"/>
          <w:szCs w:val="21"/>
          <w:lang w:eastAsia="en-GB"/>
        </w:rPr>
        <w:t>: We observed greater treated naming improvement in participants with stronger practice effects or more inconsistencies at baseline than in participants with smaller practice effects or more consistent naming at baseline, independent of aphasia severity. However, the generalizability to new data to predict treatment outcomes was weak for practice effects and poor for inconsistencies. After treatment, participants produced less variable and more consistent responses, indicating that treatment led to an overall strengthening of lexical-semantic retrieval processes.</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t xml:space="preserve">Copyright © 2025 The Authors. Published by Elsevier </w:t>
      </w:r>
      <w:proofErr w:type="gramStart"/>
      <w:r w:rsidRPr="004E0963">
        <w:rPr>
          <w:rFonts w:ascii="Roboto" w:eastAsia="Times New Roman" w:hAnsi="Roboto" w:cs="Times New Roman"/>
          <w:color w:val="000000"/>
          <w:sz w:val="21"/>
          <w:szCs w:val="21"/>
          <w:lang w:eastAsia="en-GB"/>
        </w:rPr>
        <w:t>Ltd..</w:t>
      </w:r>
      <w:proofErr w:type="gramEnd"/>
      <w:r w:rsidRPr="004E0963">
        <w:rPr>
          <w:rFonts w:ascii="Roboto" w:eastAsia="Times New Roman" w:hAnsi="Roboto" w:cs="Times New Roman"/>
          <w:color w:val="000000"/>
          <w:sz w:val="21"/>
          <w:szCs w:val="21"/>
          <w:lang w:eastAsia="en-GB"/>
        </w:rPr>
        <w:t xml:space="preserve"> All rights reserved.</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19" w:tgtFrame="_blank" w:history="1">
        <w:r w:rsidRPr="004E0963">
          <w:rPr>
            <w:rFonts w:ascii="Roboto" w:eastAsia="Times New Roman" w:hAnsi="Roboto" w:cs="Times New Roman"/>
            <w:color w:val="0066CC"/>
            <w:sz w:val="21"/>
            <w:szCs w:val="21"/>
            <w:u w:val="single"/>
            <w:lang w:eastAsia="en-GB"/>
          </w:rPr>
          <w:t>https://libkey.io/10.1016/j.neuropsychologia.2025.109271</w:t>
        </w:r>
      </w:hyperlink>
    </w:p>
    <w:p w14:paraId="14D2C4F3" w14:textId="56BD3ACB" w:rsidR="003E7AE2" w:rsidRDefault="004E0963" w:rsidP="003E7AE2">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i/>
          <w:iCs/>
          <w:color w:val="000000"/>
          <w:sz w:val="21"/>
          <w:szCs w:val="21"/>
          <w:shd w:val="clear" w:color="auto" w:fill="FFFFFF"/>
          <w:lang w:eastAsia="en-GB"/>
        </w:rPr>
        <w:t>You will need your </w:t>
      </w:r>
      <w:hyperlink r:id="rId20" w:history="1">
        <w:r w:rsidRPr="004E0963">
          <w:rPr>
            <w:rFonts w:ascii="Roboto" w:eastAsia="Times New Roman" w:hAnsi="Roboto" w:cs="Times New Roman"/>
            <w:i/>
            <w:iCs/>
            <w:color w:val="0066CC"/>
            <w:sz w:val="21"/>
            <w:szCs w:val="21"/>
            <w:u w:val="single"/>
            <w:lang w:eastAsia="en-GB"/>
          </w:rPr>
          <w:t xml:space="preserve">NHS </w:t>
        </w:r>
        <w:proofErr w:type="spellStart"/>
        <w:r w:rsidRPr="004E0963">
          <w:rPr>
            <w:rFonts w:ascii="Roboto" w:eastAsia="Times New Roman" w:hAnsi="Roboto" w:cs="Times New Roman"/>
            <w:i/>
            <w:iCs/>
            <w:color w:val="0066CC"/>
            <w:sz w:val="21"/>
            <w:szCs w:val="21"/>
            <w:u w:val="single"/>
            <w:lang w:eastAsia="en-GB"/>
          </w:rPr>
          <w:t>OpenAthens</w:t>
        </w:r>
        <w:proofErr w:type="spellEnd"/>
        <w:r w:rsidRPr="004E0963">
          <w:rPr>
            <w:rFonts w:ascii="Roboto" w:eastAsia="Times New Roman" w:hAnsi="Roboto" w:cs="Times New Roman"/>
            <w:i/>
            <w:iCs/>
            <w:color w:val="0066CC"/>
            <w:sz w:val="21"/>
            <w:szCs w:val="21"/>
            <w:u w:val="single"/>
            <w:lang w:eastAsia="en-GB"/>
          </w:rPr>
          <w:t xml:space="preserve"> account</w:t>
        </w:r>
      </w:hyperlink>
      <w:r w:rsidRPr="004E0963">
        <w:rPr>
          <w:rFonts w:ascii="Roboto" w:eastAsia="Times New Roman" w:hAnsi="Roboto" w:cs="Times New Roman"/>
          <w:i/>
          <w:iCs/>
          <w:color w:val="000000"/>
          <w:sz w:val="21"/>
          <w:szCs w:val="21"/>
          <w:shd w:val="clear" w:color="auto" w:fill="FFFFFF"/>
          <w:lang w:eastAsia="en-GB"/>
        </w:rPr>
        <w:t> to access the full text of licenced content.</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i/>
          <w:iCs/>
          <w:color w:val="000000"/>
          <w:sz w:val="21"/>
          <w:szCs w:val="21"/>
          <w:shd w:val="clear" w:color="auto" w:fill="FFFFFF"/>
          <w:lang w:eastAsia="en-GB"/>
        </w:rPr>
        <w:t>This service is provided to the NHS in England by NHSE Workforce, Training &amp; Education.</w:t>
      </w:r>
    </w:p>
    <w:p w14:paraId="74DA4E74" w14:textId="77777777" w:rsidR="003E7AE2" w:rsidRDefault="003E7AE2" w:rsidP="003E7AE2">
      <w:pPr>
        <w:pStyle w:val="Heading1"/>
      </w:pPr>
      <w:bookmarkStart w:id="1" w:name="_Toc210896920"/>
      <w:r>
        <w:lastRenderedPageBreak/>
        <w:t>Dysarthria</w:t>
      </w:r>
      <w:bookmarkEnd w:id="1"/>
    </w:p>
    <w:p w14:paraId="5E420D6D" w14:textId="4835E5C9"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1. </w:t>
      </w:r>
      <w:r w:rsidRPr="004E0963">
        <w:rPr>
          <w:rFonts w:ascii="Roboto" w:eastAsia="Times New Roman" w:hAnsi="Roboto" w:cs="Times New Roman"/>
          <w:b/>
          <w:bCs/>
          <w:color w:val="000000"/>
          <w:sz w:val="21"/>
          <w:szCs w:val="21"/>
          <w:lang w:eastAsia="en-GB"/>
        </w:rPr>
        <w:t>Communication in Complex Situations: The Combined Influence of Dysarthria and Sensorineural Hearing Loss on Speech Perception in Everyday Noisy Environments.</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xml:space="preserve"> Yoho, Sarah </w:t>
      </w:r>
      <w:proofErr w:type="spellStart"/>
      <w:r w:rsidRPr="004E0963">
        <w:rPr>
          <w:rFonts w:ascii="Roboto" w:eastAsia="Times New Roman" w:hAnsi="Roboto" w:cs="Times New Roman"/>
          <w:color w:val="000000"/>
          <w:sz w:val="21"/>
          <w:szCs w:val="21"/>
          <w:lang w:eastAsia="en-GB"/>
        </w:rPr>
        <w:t>E.;Healy</w:t>
      </w:r>
      <w:proofErr w:type="spellEnd"/>
      <w:r w:rsidRPr="004E0963">
        <w:rPr>
          <w:rFonts w:ascii="Roboto" w:eastAsia="Times New Roman" w:hAnsi="Roboto" w:cs="Times New Roman"/>
          <w:color w:val="000000"/>
          <w:sz w:val="21"/>
          <w:szCs w:val="21"/>
          <w:lang w:eastAsia="en-GB"/>
        </w:rPr>
        <w:t xml:space="preserve">, Eric </w:t>
      </w:r>
      <w:proofErr w:type="spellStart"/>
      <w:r w:rsidRPr="004E0963">
        <w:rPr>
          <w:rFonts w:ascii="Roboto" w:eastAsia="Times New Roman" w:hAnsi="Roboto" w:cs="Times New Roman"/>
          <w:color w:val="000000"/>
          <w:sz w:val="21"/>
          <w:szCs w:val="21"/>
          <w:lang w:eastAsia="en-GB"/>
        </w:rPr>
        <w:t>W.;Barrett</w:t>
      </w:r>
      <w:proofErr w:type="spellEnd"/>
      <w:r w:rsidRPr="004E0963">
        <w:rPr>
          <w:rFonts w:ascii="Roboto" w:eastAsia="Times New Roman" w:hAnsi="Roboto" w:cs="Times New Roman"/>
          <w:color w:val="000000"/>
          <w:sz w:val="21"/>
          <w:szCs w:val="21"/>
          <w:lang w:eastAsia="en-GB"/>
        </w:rPr>
        <w:t xml:space="preserve">, Tyson S. and </w:t>
      </w:r>
      <w:proofErr w:type="spellStart"/>
      <w:r w:rsidRPr="004E0963">
        <w:rPr>
          <w:rFonts w:ascii="Roboto" w:eastAsia="Times New Roman" w:hAnsi="Roboto" w:cs="Times New Roman"/>
          <w:color w:val="000000"/>
          <w:sz w:val="21"/>
          <w:szCs w:val="21"/>
          <w:lang w:eastAsia="en-GB"/>
        </w:rPr>
        <w:t>Borrie</w:t>
      </w:r>
      <w:proofErr w:type="spellEnd"/>
      <w:r w:rsidRPr="004E0963">
        <w:rPr>
          <w:rFonts w:ascii="Roboto" w:eastAsia="Times New Roman" w:hAnsi="Roboto" w:cs="Times New Roman"/>
          <w:color w:val="000000"/>
          <w:sz w:val="21"/>
          <w:szCs w:val="21"/>
          <w:lang w:eastAsia="en-GB"/>
        </w:rPr>
        <w:t>, Stephanie A.</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Sep 18 ,2025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Journal of Speech Language &amp; Hearing Research 1-12</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PURPOSE</w:t>
      </w:r>
      <w:r w:rsidRPr="004E0963">
        <w:rPr>
          <w:rFonts w:ascii="Roboto" w:eastAsia="Times New Roman" w:hAnsi="Roboto" w:cs="Times New Roman"/>
          <w:color w:val="000000"/>
          <w:sz w:val="21"/>
          <w:szCs w:val="21"/>
          <w:lang w:eastAsia="en-GB"/>
        </w:rPr>
        <w:t>: Here, we investigated how intelligibility is impacted in underappreciated, highly complex, but real-world communication scenarios involving two clinical populations-when the speaker has dysarthria and the listener has hearing loss, in noisy everyday environments. As a second aim, we examined the potential for modern noise reduction to mitigate the noise burden when listeners with hearing loss are attempting to understand a speaker with dysarthria. </w:t>
      </w:r>
      <w:r w:rsidRPr="004E0963">
        <w:rPr>
          <w:rFonts w:ascii="Roboto" w:eastAsia="Times New Roman" w:hAnsi="Roboto" w:cs="Times New Roman"/>
          <w:b/>
          <w:bCs/>
          <w:color w:val="000000"/>
          <w:sz w:val="21"/>
          <w:szCs w:val="21"/>
          <w:lang w:eastAsia="en-GB"/>
        </w:rPr>
        <w:t>METHOD</w:t>
      </w:r>
      <w:r w:rsidRPr="004E0963">
        <w:rPr>
          <w:rFonts w:ascii="Roboto" w:eastAsia="Times New Roman" w:hAnsi="Roboto" w:cs="Times New Roman"/>
          <w:color w:val="000000"/>
          <w:sz w:val="21"/>
          <w:szCs w:val="21"/>
          <w:lang w:eastAsia="en-GB"/>
        </w:rPr>
        <w:t>: Thirteen adults with sensorineural hearing loss (SNHL) listened and transcribed dysarthric speech under three processing conditions: quiet, noise, and noise reduced. The intelligibility scores of listeners with SNHL were compared with previously reported data collected from adults without hearing loss (</w:t>
      </w:r>
      <w:proofErr w:type="spellStart"/>
      <w:r w:rsidRPr="004E0963">
        <w:rPr>
          <w:rFonts w:ascii="Roboto" w:eastAsia="Times New Roman" w:hAnsi="Roboto" w:cs="Times New Roman"/>
          <w:color w:val="000000"/>
          <w:sz w:val="21"/>
          <w:szCs w:val="21"/>
          <w:lang w:eastAsia="en-GB"/>
        </w:rPr>
        <w:t>Borrie</w:t>
      </w:r>
      <w:proofErr w:type="spellEnd"/>
      <w:r w:rsidRPr="004E0963">
        <w:rPr>
          <w:rFonts w:ascii="Roboto" w:eastAsia="Times New Roman" w:hAnsi="Roboto" w:cs="Times New Roman"/>
          <w:color w:val="000000"/>
          <w:sz w:val="21"/>
          <w:szCs w:val="21"/>
          <w:lang w:eastAsia="en-GB"/>
        </w:rPr>
        <w:t xml:space="preserve"> et al., 2023). </w:t>
      </w:r>
      <w:r w:rsidRPr="004E0963">
        <w:rPr>
          <w:rFonts w:ascii="Roboto" w:eastAsia="Times New Roman" w:hAnsi="Roboto" w:cs="Times New Roman"/>
          <w:b/>
          <w:bCs/>
          <w:color w:val="000000"/>
          <w:sz w:val="21"/>
          <w:szCs w:val="21"/>
          <w:lang w:eastAsia="en-GB"/>
        </w:rPr>
        <w:t>RESULTS</w:t>
      </w:r>
      <w:r w:rsidRPr="004E0963">
        <w:rPr>
          <w:rFonts w:ascii="Roboto" w:eastAsia="Times New Roman" w:hAnsi="Roboto" w:cs="Times New Roman"/>
          <w:color w:val="000000"/>
          <w:sz w:val="21"/>
          <w:szCs w:val="21"/>
          <w:lang w:eastAsia="en-GB"/>
        </w:rPr>
        <w:t>: Listeners with SNHL performed significantly poorer than typical-hearing listeners when listening to speech produced by a speaker with dysarthria-an intelligibility disadvantage that was exacerbated when background noise was present. However, it was also found that a time-frequency-based noise reduction technique was able to effectively restore the intelligibility of dysarthric speech in noise to approximate levels in quiet for listeners with hearing loss. </w:t>
      </w:r>
      <w:r w:rsidRPr="004E0963">
        <w:rPr>
          <w:rFonts w:ascii="Roboto" w:eastAsia="Times New Roman" w:hAnsi="Roboto" w:cs="Times New Roman"/>
          <w:b/>
          <w:bCs/>
          <w:color w:val="000000"/>
          <w:sz w:val="21"/>
          <w:szCs w:val="21"/>
          <w:lang w:eastAsia="en-GB"/>
        </w:rPr>
        <w:t>CONCLUSIONS</w:t>
      </w:r>
      <w:r w:rsidRPr="004E0963">
        <w:rPr>
          <w:rFonts w:ascii="Roboto" w:eastAsia="Times New Roman" w:hAnsi="Roboto" w:cs="Times New Roman"/>
          <w:color w:val="000000"/>
          <w:sz w:val="21"/>
          <w:szCs w:val="21"/>
          <w:lang w:eastAsia="en-GB"/>
        </w:rPr>
        <w:t xml:space="preserve">: The results highlight the substantial intelligibility burden placed upon a communication dyad consisting of a speaker with dysarthria and a listener with hearing loss, when background noise is present. Given the </w:t>
      </w:r>
      <w:proofErr w:type="spellStart"/>
      <w:r w:rsidRPr="004E0963">
        <w:rPr>
          <w:rFonts w:ascii="Roboto" w:eastAsia="Times New Roman" w:hAnsi="Roboto" w:cs="Times New Roman"/>
          <w:color w:val="000000"/>
          <w:sz w:val="21"/>
          <w:szCs w:val="21"/>
          <w:lang w:eastAsia="en-GB"/>
        </w:rPr>
        <w:t>etiologies</w:t>
      </w:r>
      <w:proofErr w:type="spellEnd"/>
      <w:r w:rsidRPr="004E0963">
        <w:rPr>
          <w:rFonts w:ascii="Roboto" w:eastAsia="Times New Roman" w:hAnsi="Roboto" w:cs="Times New Roman"/>
          <w:color w:val="000000"/>
          <w:sz w:val="21"/>
          <w:szCs w:val="21"/>
          <w:lang w:eastAsia="en-GB"/>
        </w:rPr>
        <w:t xml:space="preserve"> of dysarthria and hearing loss, and presence of noise in many everyday communication environments, this scenario is not uncommon. As such, these results are an important first step toward understanding the challenges experienced when communication disorders interact. The finding that noise reduction techniques can mitigate much of the noise burden provides a promising future direction for research that seeks to manage communication with two clinical populations.</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21" w:tgtFrame="_blank" w:history="1">
        <w:r w:rsidRPr="004E0963">
          <w:rPr>
            <w:rFonts w:ascii="Roboto" w:eastAsia="Times New Roman" w:hAnsi="Roboto" w:cs="Times New Roman"/>
            <w:color w:val="0066CC"/>
            <w:sz w:val="21"/>
            <w:szCs w:val="21"/>
            <w:u w:val="single"/>
            <w:lang w:eastAsia="en-GB"/>
          </w:rPr>
          <w:t>https://libkey.io/10.1044/2025_JSLHR-24-00862</w:t>
        </w:r>
      </w:hyperlink>
    </w:p>
    <w:p w14:paraId="7600B079" w14:textId="212CA154" w:rsidR="003E7AE2" w:rsidRDefault="004E0963" w:rsidP="003E7AE2">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i/>
          <w:iCs/>
          <w:color w:val="000000"/>
          <w:sz w:val="21"/>
          <w:szCs w:val="21"/>
          <w:shd w:val="clear" w:color="auto" w:fill="FFFFFF"/>
          <w:lang w:eastAsia="en-GB"/>
        </w:rPr>
        <w:t>You will need your </w:t>
      </w:r>
      <w:hyperlink r:id="rId22" w:history="1">
        <w:r w:rsidRPr="004E0963">
          <w:rPr>
            <w:rFonts w:ascii="Roboto" w:eastAsia="Times New Roman" w:hAnsi="Roboto" w:cs="Times New Roman"/>
            <w:i/>
            <w:iCs/>
            <w:color w:val="0066CC"/>
            <w:sz w:val="21"/>
            <w:szCs w:val="21"/>
            <w:u w:val="single"/>
            <w:lang w:eastAsia="en-GB"/>
          </w:rPr>
          <w:t xml:space="preserve">NHS </w:t>
        </w:r>
        <w:proofErr w:type="spellStart"/>
        <w:r w:rsidRPr="004E0963">
          <w:rPr>
            <w:rFonts w:ascii="Roboto" w:eastAsia="Times New Roman" w:hAnsi="Roboto" w:cs="Times New Roman"/>
            <w:i/>
            <w:iCs/>
            <w:color w:val="0066CC"/>
            <w:sz w:val="21"/>
            <w:szCs w:val="21"/>
            <w:u w:val="single"/>
            <w:lang w:eastAsia="en-GB"/>
          </w:rPr>
          <w:t>OpenAthens</w:t>
        </w:r>
        <w:proofErr w:type="spellEnd"/>
        <w:r w:rsidRPr="004E0963">
          <w:rPr>
            <w:rFonts w:ascii="Roboto" w:eastAsia="Times New Roman" w:hAnsi="Roboto" w:cs="Times New Roman"/>
            <w:i/>
            <w:iCs/>
            <w:color w:val="0066CC"/>
            <w:sz w:val="21"/>
            <w:szCs w:val="21"/>
            <w:u w:val="single"/>
            <w:lang w:eastAsia="en-GB"/>
          </w:rPr>
          <w:t xml:space="preserve"> account</w:t>
        </w:r>
      </w:hyperlink>
      <w:r w:rsidRPr="004E0963">
        <w:rPr>
          <w:rFonts w:ascii="Roboto" w:eastAsia="Times New Roman" w:hAnsi="Roboto" w:cs="Times New Roman"/>
          <w:i/>
          <w:iCs/>
          <w:color w:val="000000"/>
          <w:sz w:val="21"/>
          <w:szCs w:val="21"/>
          <w:shd w:val="clear" w:color="auto" w:fill="FFFFFF"/>
          <w:lang w:eastAsia="en-GB"/>
        </w:rPr>
        <w:t> to access the full text of licenced content.</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i/>
          <w:iCs/>
          <w:color w:val="000000"/>
          <w:sz w:val="21"/>
          <w:szCs w:val="21"/>
          <w:shd w:val="clear" w:color="auto" w:fill="FFFFFF"/>
          <w:lang w:eastAsia="en-GB"/>
        </w:rPr>
        <w:t>This service is provided to the NHS in England by NHSE Workforce, Training &amp; Education.</w:t>
      </w:r>
    </w:p>
    <w:p w14:paraId="137F075F" w14:textId="77777777" w:rsidR="003E7AE2" w:rsidRDefault="00F95BB2" w:rsidP="003E7AE2">
      <w:pPr>
        <w:pStyle w:val="Heading1"/>
      </w:pPr>
      <w:bookmarkStart w:id="2" w:name="_Toc210896921"/>
      <w:r>
        <w:t>Dysphag</w:t>
      </w:r>
      <w:r w:rsidR="003E7AE2">
        <w:t>ia</w:t>
      </w:r>
      <w:bookmarkEnd w:id="2"/>
    </w:p>
    <w:p w14:paraId="08A896C6" w14:textId="40CD5B19"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1. </w:t>
      </w:r>
      <w:proofErr w:type="spellStart"/>
      <w:r w:rsidRPr="004E0963">
        <w:rPr>
          <w:rFonts w:ascii="Roboto" w:eastAsia="Times New Roman" w:hAnsi="Roboto" w:cs="Times New Roman"/>
          <w:b/>
          <w:bCs/>
          <w:color w:val="000000"/>
          <w:sz w:val="21"/>
          <w:szCs w:val="21"/>
          <w:lang w:eastAsia="en-GB"/>
        </w:rPr>
        <w:t>Pharyngolaryngeal</w:t>
      </w:r>
      <w:proofErr w:type="spellEnd"/>
      <w:r w:rsidRPr="004E0963">
        <w:rPr>
          <w:rFonts w:ascii="Roboto" w:eastAsia="Times New Roman" w:hAnsi="Roboto" w:cs="Times New Roman"/>
          <w:b/>
          <w:bCs/>
          <w:color w:val="000000"/>
          <w:sz w:val="21"/>
          <w:szCs w:val="21"/>
          <w:lang w:eastAsia="en-GB"/>
        </w:rPr>
        <w:t xml:space="preserve"> Abnormalities viewed via </w:t>
      </w:r>
      <w:proofErr w:type="spellStart"/>
      <w:r w:rsidRPr="004E0963">
        <w:rPr>
          <w:rFonts w:ascii="Roboto" w:eastAsia="Times New Roman" w:hAnsi="Roboto" w:cs="Times New Roman"/>
          <w:b/>
          <w:bCs/>
          <w:color w:val="000000"/>
          <w:sz w:val="21"/>
          <w:szCs w:val="21"/>
          <w:lang w:eastAsia="en-GB"/>
        </w:rPr>
        <w:t>nasoendoscopy</w:t>
      </w:r>
      <w:proofErr w:type="spellEnd"/>
      <w:r w:rsidRPr="004E0963">
        <w:rPr>
          <w:rFonts w:ascii="Roboto" w:eastAsia="Times New Roman" w:hAnsi="Roboto" w:cs="Times New Roman"/>
          <w:b/>
          <w:bCs/>
          <w:color w:val="000000"/>
          <w:sz w:val="21"/>
          <w:szCs w:val="21"/>
          <w:lang w:eastAsia="en-GB"/>
        </w:rPr>
        <w:t xml:space="preserve"> associated with Oropharyngeal Dysphagia in Adults: A Scoping Review.</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xml:space="preserve"> Boggiano, </w:t>
      </w:r>
      <w:proofErr w:type="spellStart"/>
      <w:r w:rsidRPr="004E0963">
        <w:rPr>
          <w:rFonts w:ascii="Roboto" w:eastAsia="Times New Roman" w:hAnsi="Roboto" w:cs="Times New Roman"/>
          <w:color w:val="000000"/>
          <w:sz w:val="21"/>
          <w:szCs w:val="21"/>
          <w:lang w:eastAsia="en-GB"/>
        </w:rPr>
        <w:t>Sarah;Freeman-Sanderson</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Amy;Miles</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Anna;Power</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Emma;Rogers</w:t>
      </w:r>
      <w:proofErr w:type="spellEnd"/>
      <w:r w:rsidRPr="004E0963">
        <w:rPr>
          <w:rFonts w:ascii="Roboto" w:eastAsia="Times New Roman" w:hAnsi="Roboto" w:cs="Times New Roman"/>
          <w:color w:val="000000"/>
          <w:sz w:val="21"/>
          <w:szCs w:val="21"/>
          <w:lang w:eastAsia="en-GB"/>
        </w:rPr>
        <w:t>, Kris and Wallace, Sarah</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Dysphagia</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w:t>
      </w:r>
      <w:r w:rsidRPr="004E0963">
        <w:rPr>
          <w:rFonts w:ascii="Roboto" w:eastAsia="Times New Roman" w:hAnsi="Roboto" w:cs="Times New Roman"/>
          <w:color w:val="000000"/>
          <w:sz w:val="21"/>
          <w:szCs w:val="21"/>
          <w:lang w:eastAsia="en-GB"/>
        </w:rPr>
        <w:t xml:space="preserve">To identify in the literature which </w:t>
      </w:r>
      <w:proofErr w:type="spellStart"/>
      <w:r w:rsidRPr="004E0963">
        <w:rPr>
          <w:rFonts w:ascii="Roboto" w:eastAsia="Times New Roman" w:hAnsi="Roboto" w:cs="Times New Roman"/>
          <w:color w:val="000000"/>
          <w:sz w:val="21"/>
          <w:szCs w:val="21"/>
          <w:lang w:eastAsia="en-GB"/>
        </w:rPr>
        <w:t>pharyngolaryngeal</w:t>
      </w:r>
      <w:proofErr w:type="spellEnd"/>
      <w:r w:rsidRPr="004E0963">
        <w:rPr>
          <w:rFonts w:ascii="Roboto" w:eastAsia="Times New Roman" w:hAnsi="Roboto" w:cs="Times New Roman"/>
          <w:color w:val="000000"/>
          <w:sz w:val="21"/>
          <w:szCs w:val="21"/>
          <w:lang w:eastAsia="en-GB"/>
        </w:rPr>
        <w:t xml:space="preserve"> abnormalities (PLA) co-occur or are associated with oropharyngeal dysphagia when viewed via </w:t>
      </w:r>
      <w:proofErr w:type="spellStart"/>
      <w:r w:rsidRPr="004E0963">
        <w:rPr>
          <w:rFonts w:ascii="Roboto" w:eastAsia="Times New Roman" w:hAnsi="Roboto" w:cs="Times New Roman"/>
          <w:color w:val="000000"/>
          <w:sz w:val="21"/>
          <w:szCs w:val="21"/>
          <w:lang w:eastAsia="en-GB"/>
        </w:rPr>
        <w:t>nasoendoscopy</w:t>
      </w:r>
      <w:proofErr w:type="spellEnd"/>
      <w:r w:rsidRPr="004E0963">
        <w:rPr>
          <w:rFonts w:ascii="Roboto" w:eastAsia="Times New Roman" w:hAnsi="Roboto" w:cs="Times New Roman"/>
          <w:color w:val="000000"/>
          <w:sz w:val="21"/>
          <w:szCs w:val="21"/>
          <w:lang w:eastAsia="en-GB"/>
        </w:rPr>
        <w:t xml:space="preserve">. Flexible Endoscopic Evaluation of Swallowing (FEES) is an examination used to assess swallowing. </w:t>
      </w:r>
      <w:r w:rsidRPr="004E0963">
        <w:rPr>
          <w:rFonts w:ascii="Roboto" w:eastAsia="Times New Roman" w:hAnsi="Roboto" w:cs="Times New Roman"/>
          <w:color w:val="000000"/>
          <w:sz w:val="21"/>
          <w:szCs w:val="21"/>
          <w:lang w:eastAsia="en-GB"/>
        </w:rPr>
        <w:lastRenderedPageBreak/>
        <w:t>Currently there are no standardized frameworks to observe and report on PLAs observed during a FEES procedure to support diagnostics and inform management. Multiple databases (Scopus (Elsevier), Medline (Ovid), CINAHL (EBSCO) and EMBASE (Ovid)) were searched against inclusion criteria from 1980 to 2024. Key search terms included variations of larynx, pharynx, FEES, and oropharyngeal dysphagia. The study utilized PRISMA-</w:t>
      </w:r>
      <w:proofErr w:type="spellStart"/>
      <w:r w:rsidRPr="004E0963">
        <w:rPr>
          <w:rFonts w:ascii="Roboto" w:eastAsia="Times New Roman" w:hAnsi="Roboto" w:cs="Times New Roman"/>
          <w:color w:val="000000"/>
          <w:sz w:val="21"/>
          <w:szCs w:val="21"/>
          <w:lang w:eastAsia="en-GB"/>
        </w:rPr>
        <w:t>ScR</w:t>
      </w:r>
      <w:proofErr w:type="spellEnd"/>
      <w:r w:rsidRPr="004E0963">
        <w:rPr>
          <w:rFonts w:ascii="Roboto" w:eastAsia="Times New Roman" w:hAnsi="Roboto" w:cs="Times New Roman"/>
          <w:color w:val="000000"/>
          <w:sz w:val="21"/>
          <w:szCs w:val="21"/>
          <w:lang w:eastAsia="en-GB"/>
        </w:rPr>
        <w:t xml:space="preserve"> reporting items. Two independent reviewers screened in two phases. Reporting of PLAs with oropharyngeal dysphagia was represented using frequency of co-occurrence and, where available, any statistical analyses attempting to demonstrate an association. Prevalence was calculated for PLA and presence of signs/symptoms of oropharyngeal dysphagia. 117 articles were included for full text review. Data were synthesized into 24 PLA within six categories. PLAs with both frequency of co-occurrence and statistical analysis attempting to demonstrate an association with oropharyngeal dysphagia included unilateral vocal fold motion impairment (UVFMI), velopharyngeal insufficiency, arytenoid motion impairment, incomplete glottic closure, vocal fold atrophy/bowing, </w:t>
      </w:r>
      <w:proofErr w:type="spellStart"/>
      <w:r w:rsidRPr="004E0963">
        <w:rPr>
          <w:rFonts w:ascii="Roboto" w:eastAsia="Times New Roman" w:hAnsi="Roboto" w:cs="Times New Roman"/>
          <w:color w:val="000000"/>
          <w:sz w:val="21"/>
          <w:szCs w:val="21"/>
          <w:lang w:eastAsia="en-GB"/>
        </w:rPr>
        <w:t>edema</w:t>
      </w:r>
      <w:proofErr w:type="spellEnd"/>
      <w:r w:rsidRPr="004E0963">
        <w:rPr>
          <w:rFonts w:ascii="Roboto" w:eastAsia="Times New Roman" w:hAnsi="Roboto" w:cs="Times New Roman"/>
          <w:color w:val="000000"/>
          <w:sz w:val="21"/>
          <w:szCs w:val="21"/>
          <w:lang w:eastAsia="en-GB"/>
        </w:rPr>
        <w:t xml:space="preserve">, and hematoma. This scoping review presents evidence relating to PLAs seen via </w:t>
      </w:r>
      <w:proofErr w:type="spellStart"/>
      <w:r w:rsidRPr="004E0963">
        <w:rPr>
          <w:rFonts w:ascii="Roboto" w:eastAsia="Times New Roman" w:hAnsi="Roboto" w:cs="Times New Roman"/>
          <w:color w:val="000000"/>
          <w:sz w:val="21"/>
          <w:szCs w:val="21"/>
          <w:lang w:eastAsia="en-GB"/>
        </w:rPr>
        <w:t>nasoendoscopy</w:t>
      </w:r>
      <w:proofErr w:type="spellEnd"/>
      <w:r w:rsidRPr="004E0963">
        <w:rPr>
          <w:rFonts w:ascii="Roboto" w:eastAsia="Times New Roman" w:hAnsi="Roboto" w:cs="Times New Roman"/>
          <w:color w:val="000000"/>
          <w:sz w:val="21"/>
          <w:szCs w:val="21"/>
          <w:lang w:eastAsia="en-GB"/>
        </w:rPr>
        <w:t xml:space="preserve"> and their reported co-occurrence with oropharyngeal dysphagia. Overall, seven PLA were shown to have an association with oropharyngeal dysphagia, and a further 11 PLA had frequency of co-occurrence with oropharyngeal dysphagia without statistical analysis to support association. Whilst these findings suggest a relationship between PLA and oropharyngeal dysphagia, further research is required to confirm causation of each PLA on swallowing function. Systematic swallowing assessment and use of outcome measures that consider the presence of </w:t>
      </w:r>
      <w:proofErr w:type="spellStart"/>
      <w:r w:rsidRPr="004E0963">
        <w:rPr>
          <w:rFonts w:ascii="Roboto" w:eastAsia="Times New Roman" w:hAnsi="Roboto" w:cs="Times New Roman"/>
          <w:color w:val="000000"/>
          <w:sz w:val="21"/>
          <w:szCs w:val="21"/>
          <w:lang w:eastAsia="en-GB"/>
        </w:rPr>
        <w:t>pharyngolaryngeal</w:t>
      </w:r>
      <w:proofErr w:type="spellEnd"/>
      <w:r w:rsidRPr="004E0963">
        <w:rPr>
          <w:rFonts w:ascii="Roboto" w:eastAsia="Times New Roman" w:hAnsi="Roboto" w:cs="Times New Roman"/>
          <w:color w:val="000000"/>
          <w:sz w:val="21"/>
          <w:szCs w:val="21"/>
          <w:lang w:eastAsia="en-GB"/>
        </w:rPr>
        <w:t xml:space="preserve"> abnormalities, will help generate rigorous evidence that is needed to advance precision in diagnostics of swallowing impairment and subsequent interventions.</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23" w:tgtFrame="_blank" w:history="1">
        <w:r w:rsidRPr="004E0963">
          <w:rPr>
            <w:rFonts w:ascii="Roboto" w:eastAsia="Times New Roman" w:hAnsi="Roboto" w:cs="Times New Roman"/>
            <w:color w:val="0066CC"/>
            <w:sz w:val="21"/>
            <w:szCs w:val="21"/>
            <w:u w:val="single"/>
            <w:lang w:eastAsia="en-GB"/>
          </w:rPr>
          <w:t>https://libkey.io/10.1007/s00455-025-10884-6</w:t>
        </w:r>
      </w:hyperlink>
    </w:p>
    <w:p w14:paraId="46ACE7F8" w14:textId="52BE0B5E"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2. </w:t>
      </w:r>
      <w:r w:rsidRPr="004E0963">
        <w:rPr>
          <w:rFonts w:ascii="Roboto" w:eastAsia="Times New Roman" w:hAnsi="Roboto" w:cs="Times New Roman"/>
          <w:b/>
          <w:bCs/>
          <w:color w:val="000000"/>
          <w:sz w:val="21"/>
          <w:szCs w:val="21"/>
          <w:lang w:eastAsia="en-GB"/>
        </w:rPr>
        <w:t>Patterns of Oropharyngeal Dysphagia Associated With Craniofacial Microsomia.</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xml:space="preserve"> Brooks, </w:t>
      </w:r>
      <w:proofErr w:type="spellStart"/>
      <w:r w:rsidRPr="004E0963">
        <w:rPr>
          <w:rFonts w:ascii="Roboto" w:eastAsia="Times New Roman" w:hAnsi="Roboto" w:cs="Times New Roman"/>
          <w:color w:val="000000"/>
          <w:sz w:val="21"/>
          <w:szCs w:val="21"/>
          <w:lang w:eastAsia="en-GB"/>
        </w:rPr>
        <w:t>Laura;Evans</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Sean;Hill</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Robert;Gethers</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Casiel;Igbinadolor</w:t>
      </w:r>
      <w:proofErr w:type="spellEnd"/>
      <w:r w:rsidRPr="004E0963">
        <w:rPr>
          <w:rFonts w:ascii="Roboto" w:eastAsia="Times New Roman" w:hAnsi="Roboto" w:cs="Times New Roman"/>
          <w:color w:val="000000"/>
          <w:sz w:val="21"/>
          <w:szCs w:val="21"/>
          <w:lang w:eastAsia="en-GB"/>
        </w:rPr>
        <w:t>, Elihu and Goudy, Steven</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Journal of Craniofacial Surgery</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INTRODUCTION</w:t>
      </w:r>
      <w:r w:rsidRPr="004E0963">
        <w:rPr>
          <w:rFonts w:ascii="Roboto" w:eastAsia="Times New Roman" w:hAnsi="Roboto" w:cs="Times New Roman"/>
          <w:color w:val="000000"/>
          <w:sz w:val="21"/>
          <w:szCs w:val="21"/>
          <w:lang w:eastAsia="en-GB"/>
        </w:rPr>
        <w:t xml:space="preserve">: Craniofacial microsomia (CFM) is a congenital condition characterized by mandibular hypoplasia, facial asymmetry, upper airway obstruction, and potential cleft lip/palate that can impact swallowing function resulting in dysphagia. This study aims to characterize the prevalence of oropharyngeal dysphagia at all levels of CFM severity by </w:t>
      </w:r>
      <w:proofErr w:type="spellStart"/>
      <w:r w:rsidRPr="004E0963">
        <w:rPr>
          <w:rFonts w:ascii="Roboto" w:eastAsia="Times New Roman" w:hAnsi="Roboto" w:cs="Times New Roman"/>
          <w:color w:val="000000"/>
          <w:sz w:val="21"/>
          <w:szCs w:val="21"/>
          <w:lang w:eastAsia="en-GB"/>
        </w:rPr>
        <w:t>analyzing</w:t>
      </w:r>
      <w:proofErr w:type="spellEnd"/>
      <w:r w:rsidRPr="004E0963">
        <w:rPr>
          <w:rFonts w:ascii="Roboto" w:eastAsia="Times New Roman" w:hAnsi="Roboto" w:cs="Times New Roman"/>
          <w:color w:val="000000"/>
          <w:sz w:val="21"/>
          <w:szCs w:val="21"/>
          <w:lang w:eastAsia="en-GB"/>
        </w:rPr>
        <w:t xml:space="preserve"> Video Fluoroscopic Swallow Studies (VFSS) of patients with </w:t>
      </w:r>
      <w:proofErr w:type="gramStart"/>
      <w:r w:rsidRPr="004E0963">
        <w:rPr>
          <w:rFonts w:ascii="Roboto" w:eastAsia="Times New Roman" w:hAnsi="Roboto" w:cs="Times New Roman"/>
          <w:color w:val="000000"/>
          <w:sz w:val="21"/>
          <w:szCs w:val="21"/>
          <w:lang w:eastAsia="en-GB"/>
        </w:rPr>
        <w:t>CFM, and</w:t>
      </w:r>
      <w:proofErr w:type="gramEnd"/>
      <w:r w:rsidRPr="004E0963">
        <w:rPr>
          <w:rFonts w:ascii="Roboto" w:eastAsia="Times New Roman" w:hAnsi="Roboto" w:cs="Times New Roman"/>
          <w:color w:val="000000"/>
          <w:sz w:val="21"/>
          <w:szCs w:val="21"/>
          <w:lang w:eastAsia="en-GB"/>
        </w:rPr>
        <w:t xml:space="preserve"> identify patterns of oral and pharyngeal dysphagia to guide assessment and treatment. </w:t>
      </w:r>
      <w:r w:rsidRPr="004E0963">
        <w:rPr>
          <w:rFonts w:ascii="Roboto" w:eastAsia="Times New Roman" w:hAnsi="Roboto" w:cs="Times New Roman"/>
          <w:b/>
          <w:bCs/>
          <w:color w:val="000000"/>
          <w:sz w:val="21"/>
          <w:szCs w:val="21"/>
          <w:lang w:eastAsia="en-GB"/>
        </w:rPr>
        <w:t>METHODS</w:t>
      </w:r>
      <w:r w:rsidRPr="004E0963">
        <w:rPr>
          <w:rFonts w:ascii="Roboto" w:eastAsia="Times New Roman" w:hAnsi="Roboto" w:cs="Times New Roman"/>
          <w:color w:val="000000"/>
          <w:sz w:val="21"/>
          <w:szCs w:val="21"/>
          <w:lang w:eastAsia="en-GB"/>
        </w:rPr>
        <w:t>: A retrospective chart review of patients aged 0-18 years at a single institution from January 2015 to February 2021 with a diagnosis of CFM was performed. Patients who did not receive a VFSS or had a primary diagnosis other than CFM were excluded. Severity of CFM was determined using the Pruzansky-Kaban classification (PKC), while all VFSSs were scored using the Penetration Aspiration Scale (PAS). Oral and pharyngeal phase impairments were scored by level of severity. The Functional Oral Intake Scale (FOIS) was used to categorize the functional oral intake of foods and liquids. </w:t>
      </w:r>
      <w:r w:rsidRPr="004E0963">
        <w:rPr>
          <w:rFonts w:ascii="Roboto" w:eastAsia="Times New Roman" w:hAnsi="Roboto" w:cs="Times New Roman"/>
          <w:b/>
          <w:bCs/>
          <w:color w:val="000000"/>
          <w:sz w:val="21"/>
          <w:szCs w:val="21"/>
          <w:lang w:eastAsia="en-GB"/>
        </w:rPr>
        <w:t>RESULTS</w:t>
      </w:r>
      <w:r w:rsidRPr="004E0963">
        <w:rPr>
          <w:rFonts w:ascii="Roboto" w:eastAsia="Times New Roman" w:hAnsi="Roboto" w:cs="Times New Roman"/>
          <w:color w:val="000000"/>
          <w:sz w:val="21"/>
          <w:szCs w:val="21"/>
          <w:lang w:eastAsia="en-GB"/>
        </w:rPr>
        <w:t xml:space="preserve">: Eighteen total patients met the inclusion criteria for this study. Eight (44%) patients were male and the median age at the time of first VFSS was 8.1 months (interquartile range: 2.1-30.3). </w:t>
      </w:r>
      <w:proofErr w:type="gramStart"/>
      <w:r w:rsidRPr="004E0963">
        <w:rPr>
          <w:rFonts w:ascii="Roboto" w:eastAsia="Times New Roman" w:hAnsi="Roboto" w:cs="Times New Roman"/>
          <w:color w:val="000000"/>
          <w:sz w:val="21"/>
          <w:szCs w:val="21"/>
          <w:lang w:eastAsia="en-GB"/>
        </w:rPr>
        <w:t>On the basis of</w:t>
      </w:r>
      <w:proofErr w:type="gramEnd"/>
      <w:r w:rsidRPr="004E0963">
        <w:rPr>
          <w:rFonts w:ascii="Roboto" w:eastAsia="Times New Roman" w:hAnsi="Roboto" w:cs="Times New Roman"/>
          <w:color w:val="000000"/>
          <w:sz w:val="21"/>
          <w:szCs w:val="21"/>
          <w:lang w:eastAsia="en-GB"/>
        </w:rPr>
        <w:t xml:space="preserve"> the Pruzansky-Kaban classification, 8 patients were grade 1, 3 were 2a, 3 were 2b, and 4 were grade 3. </w:t>
      </w:r>
      <w:proofErr w:type="gramStart"/>
      <w:r w:rsidRPr="004E0963">
        <w:rPr>
          <w:rFonts w:ascii="Roboto" w:eastAsia="Times New Roman" w:hAnsi="Roboto" w:cs="Times New Roman"/>
          <w:color w:val="000000"/>
          <w:sz w:val="21"/>
          <w:szCs w:val="21"/>
          <w:lang w:eastAsia="en-GB"/>
        </w:rPr>
        <w:t>The majority of</w:t>
      </w:r>
      <w:proofErr w:type="gramEnd"/>
      <w:r w:rsidRPr="004E0963">
        <w:rPr>
          <w:rFonts w:ascii="Roboto" w:eastAsia="Times New Roman" w:hAnsi="Roboto" w:cs="Times New Roman"/>
          <w:color w:val="000000"/>
          <w:sz w:val="21"/>
          <w:szCs w:val="21"/>
          <w:lang w:eastAsia="en-GB"/>
        </w:rPr>
        <w:t xml:space="preserve"> the patients, 14/18 (78%) were impacted on the right side. Twelve patients underwent polysomnography and 10/12 (83%) were diagnosed with obstructive sleep </w:t>
      </w:r>
      <w:proofErr w:type="spellStart"/>
      <w:r w:rsidRPr="004E0963">
        <w:rPr>
          <w:rFonts w:ascii="Roboto" w:eastAsia="Times New Roman" w:hAnsi="Roboto" w:cs="Times New Roman"/>
          <w:color w:val="000000"/>
          <w:sz w:val="21"/>
          <w:szCs w:val="21"/>
          <w:lang w:eastAsia="en-GB"/>
        </w:rPr>
        <w:t>apnea</w:t>
      </w:r>
      <w:proofErr w:type="spellEnd"/>
      <w:r w:rsidRPr="004E0963">
        <w:rPr>
          <w:rFonts w:ascii="Roboto" w:eastAsia="Times New Roman" w:hAnsi="Roboto" w:cs="Times New Roman"/>
          <w:color w:val="000000"/>
          <w:sz w:val="21"/>
          <w:szCs w:val="21"/>
          <w:lang w:eastAsia="en-GB"/>
        </w:rPr>
        <w:t xml:space="preserve">. Laryngomalacia was present in 7 </w:t>
      </w:r>
      <w:r w:rsidRPr="004E0963">
        <w:rPr>
          <w:rFonts w:ascii="Roboto" w:eastAsia="Times New Roman" w:hAnsi="Roboto" w:cs="Times New Roman"/>
          <w:color w:val="000000"/>
          <w:sz w:val="21"/>
          <w:szCs w:val="21"/>
          <w:lang w:eastAsia="en-GB"/>
        </w:rPr>
        <w:lastRenderedPageBreak/>
        <w:t xml:space="preserve">of the 18 patients (39%). The most frequently occurring oral phase swallowing impairments were anterior labial escape of less than half the bolus (12, 67%) and impaired bolus control resulting in spillage to the level of the pyriform sinuses (15, 83%). Pharyngeal residue was present in 17 of the 18 patients (94%) patients with the base of tongue (14, 78%) and </w:t>
      </w:r>
      <w:proofErr w:type="spellStart"/>
      <w:r w:rsidRPr="004E0963">
        <w:rPr>
          <w:rFonts w:ascii="Roboto" w:eastAsia="Times New Roman" w:hAnsi="Roboto" w:cs="Times New Roman"/>
          <w:color w:val="000000"/>
          <w:sz w:val="21"/>
          <w:szCs w:val="21"/>
          <w:lang w:eastAsia="en-GB"/>
        </w:rPr>
        <w:t>valleculae</w:t>
      </w:r>
      <w:proofErr w:type="spellEnd"/>
      <w:r w:rsidRPr="004E0963">
        <w:rPr>
          <w:rFonts w:ascii="Roboto" w:eastAsia="Times New Roman" w:hAnsi="Roboto" w:cs="Times New Roman"/>
          <w:color w:val="000000"/>
          <w:sz w:val="21"/>
          <w:szCs w:val="21"/>
          <w:lang w:eastAsia="en-GB"/>
        </w:rPr>
        <w:t xml:space="preserve"> (11, 61%) being the most common anatomic location. In total, 9 (50%) of the patients exhibited laryngeal penetration [Penetration Aspiration Scale (PAS) 2, 3, and 4] on at least one consistency, while 8 (44%) presented with aspiration [PAS 7, 8] on at least one consistency. Retrograde movement of the bolus into the nasopharynx/nasopharyngeal regurgitation was present in 4 out of 18 (22%). The upper </w:t>
      </w:r>
      <w:proofErr w:type="spellStart"/>
      <w:r w:rsidRPr="004E0963">
        <w:rPr>
          <w:rFonts w:ascii="Roboto" w:eastAsia="Times New Roman" w:hAnsi="Roboto" w:cs="Times New Roman"/>
          <w:color w:val="000000"/>
          <w:sz w:val="21"/>
          <w:szCs w:val="21"/>
          <w:lang w:eastAsia="en-GB"/>
        </w:rPr>
        <w:t>esophageal</w:t>
      </w:r>
      <w:proofErr w:type="spellEnd"/>
      <w:r w:rsidRPr="004E0963">
        <w:rPr>
          <w:rFonts w:ascii="Roboto" w:eastAsia="Times New Roman" w:hAnsi="Roboto" w:cs="Times New Roman"/>
          <w:color w:val="000000"/>
          <w:sz w:val="21"/>
          <w:szCs w:val="21"/>
          <w:lang w:eastAsia="en-GB"/>
        </w:rPr>
        <w:t xml:space="preserve"> phase was unremarkable in all patients. Changes to oral feeding status according to the Functional Oral Intake Scale occurred in half of the patients following VFSS evaluation. </w:t>
      </w:r>
      <w:r w:rsidRPr="004E0963">
        <w:rPr>
          <w:rFonts w:ascii="Roboto" w:eastAsia="Times New Roman" w:hAnsi="Roboto" w:cs="Times New Roman"/>
          <w:b/>
          <w:bCs/>
          <w:color w:val="000000"/>
          <w:sz w:val="21"/>
          <w:szCs w:val="21"/>
          <w:lang w:eastAsia="en-GB"/>
        </w:rPr>
        <w:t>CONCLUSION</w:t>
      </w:r>
      <w:r w:rsidRPr="004E0963">
        <w:rPr>
          <w:rFonts w:ascii="Roboto" w:eastAsia="Times New Roman" w:hAnsi="Roboto" w:cs="Times New Roman"/>
          <w:color w:val="000000"/>
          <w:sz w:val="21"/>
          <w:szCs w:val="21"/>
          <w:lang w:eastAsia="en-GB"/>
        </w:rPr>
        <w:t>: Patients with CFM of all severities demonstrated oral and pharyngeal dysphagia on VFSS, including impaired labial closure, impaired bolus containment, pharyngeal residue, and penetration/aspiration. Instrumental assessment of patients with CFM is recommended to assess anatomy and physiology of the oropharyngeal phases of swallowing, and to identify the specific interventions and compensatory strategies to improve feeding outcomes.</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t>Copyright © 2025 by Mutaz B. Habal, MD.</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24" w:tgtFrame="_blank" w:history="1">
        <w:r w:rsidRPr="004E0963">
          <w:rPr>
            <w:rFonts w:ascii="Roboto" w:eastAsia="Times New Roman" w:hAnsi="Roboto" w:cs="Times New Roman"/>
            <w:color w:val="0066CC"/>
            <w:sz w:val="21"/>
            <w:szCs w:val="21"/>
            <w:u w:val="single"/>
            <w:lang w:eastAsia="en-GB"/>
          </w:rPr>
          <w:t>https://libkey.io/10.1097/SCS.0000000000011984</w:t>
        </w:r>
      </w:hyperlink>
    </w:p>
    <w:p w14:paraId="724BFE37" w14:textId="52F9C316"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3. </w:t>
      </w:r>
      <w:r w:rsidRPr="004E0963">
        <w:rPr>
          <w:rFonts w:ascii="Roboto" w:eastAsia="Times New Roman" w:hAnsi="Roboto" w:cs="Times New Roman"/>
          <w:b/>
          <w:bCs/>
          <w:color w:val="000000"/>
          <w:sz w:val="21"/>
          <w:szCs w:val="21"/>
          <w:lang w:eastAsia="en-GB"/>
        </w:rPr>
        <w:t>The late paid price: The lived experience of late radiation associated dysphagia.</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xml:space="preserve"> Cochrane, </w:t>
      </w:r>
      <w:proofErr w:type="spellStart"/>
      <w:r w:rsidRPr="004E0963">
        <w:rPr>
          <w:rFonts w:ascii="Roboto" w:eastAsia="Times New Roman" w:hAnsi="Roboto" w:cs="Times New Roman"/>
          <w:color w:val="000000"/>
          <w:sz w:val="21"/>
          <w:szCs w:val="21"/>
          <w:lang w:eastAsia="en-GB"/>
        </w:rPr>
        <w:t>Hilary;Dawson</w:t>
      </w:r>
      <w:proofErr w:type="spellEnd"/>
      <w:r w:rsidRPr="004E0963">
        <w:rPr>
          <w:rFonts w:ascii="Roboto" w:eastAsia="Times New Roman" w:hAnsi="Roboto" w:cs="Times New Roman"/>
          <w:color w:val="000000"/>
          <w:sz w:val="21"/>
          <w:szCs w:val="21"/>
          <w:lang w:eastAsia="en-GB"/>
        </w:rPr>
        <w:t xml:space="preserve">, Camilla and </w:t>
      </w:r>
      <w:proofErr w:type="spellStart"/>
      <w:r w:rsidRPr="004E0963">
        <w:rPr>
          <w:rFonts w:ascii="Roboto" w:eastAsia="Times New Roman" w:hAnsi="Roboto" w:cs="Times New Roman"/>
          <w:color w:val="000000"/>
          <w:sz w:val="21"/>
          <w:szCs w:val="21"/>
          <w:lang w:eastAsia="en-GB"/>
        </w:rPr>
        <w:t>Skoretz</w:t>
      </w:r>
      <w:proofErr w:type="spellEnd"/>
      <w:r w:rsidRPr="004E0963">
        <w:rPr>
          <w:rFonts w:ascii="Roboto" w:eastAsia="Times New Roman" w:hAnsi="Roboto" w:cs="Times New Roman"/>
          <w:color w:val="000000"/>
          <w:sz w:val="21"/>
          <w:szCs w:val="21"/>
          <w:lang w:eastAsia="en-GB"/>
        </w:rPr>
        <w:t>, Stacey A.</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Sep 21 ,2025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 xml:space="preserve">International Journal of </w:t>
      </w:r>
      <w:proofErr w:type="spellStart"/>
      <w:r w:rsidRPr="004E0963">
        <w:rPr>
          <w:rFonts w:ascii="Roboto" w:eastAsia="Times New Roman" w:hAnsi="Roboto" w:cs="Times New Roman"/>
          <w:color w:val="000000"/>
          <w:sz w:val="21"/>
          <w:szCs w:val="21"/>
          <w:lang w:eastAsia="en-GB"/>
        </w:rPr>
        <w:t>Speechlanguage</w:t>
      </w:r>
      <w:proofErr w:type="spellEnd"/>
      <w:r w:rsidRPr="004E0963">
        <w:rPr>
          <w:rFonts w:ascii="Roboto" w:eastAsia="Times New Roman" w:hAnsi="Roboto" w:cs="Times New Roman"/>
          <w:color w:val="000000"/>
          <w:sz w:val="21"/>
          <w:szCs w:val="21"/>
          <w:lang w:eastAsia="en-GB"/>
        </w:rPr>
        <w:t xml:space="preserve"> Pathology 1-10</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PURPOSE</w:t>
      </w:r>
      <w:r w:rsidRPr="004E0963">
        <w:rPr>
          <w:rFonts w:ascii="Roboto" w:eastAsia="Times New Roman" w:hAnsi="Roboto" w:cs="Times New Roman"/>
          <w:color w:val="000000"/>
          <w:sz w:val="21"/>
          <w:szCs w:val="21"/>
          <w:lang w:eastAsia="en-GB"/>
        </w:rPr>
        <w:t>: Late radiation-associated dysphagia is a rare side effect of radiation treatment for head and neck cancer. Arising over five years after treatment, it may profoundly impact survivors' health and quality of life. This study sought to gain insight into the lived experience of late radiation associated dysphagia. </w:t>
      </w:r>
      <w:r w:rsidRPr="004E0963">
        <w:rPr>
          <w:rFonts w:ascii="Roboto" w:eastAsia="Times New Roman" w:hAnsi="Roboto" w:cs="Times New Roman"/>
          <w:b/>
          <w:bCs/>
          <w:color w:val="000000"/>
          <w:sz w:val="21"/>
          <w:szCs w:val="21"/>
          <w:lang w:eastAsia="en-GB"/>
        </w:rPr>
        <w:t>METHOD</w:t>
      </w:r>
      <w:r w:rsidRPr="004E0963">
        <w:rPr>
          <w:rFonts w:ascii="Roboto" w:eastAsia="Times New Roman" w:hAnsi="Roboto" w:cs="Times New Roman"/>
          <w:color w:val="000000"/>
          <w:sz w:val="21"/>
          <w:szCs w:val="21"/>
          <w:lang w:eastAsia="en-GB"/>
        </w:rPr>
        <w:t>: This qualitative study utilised semi-structured phone interviews. Research assistants completed transcription using a consensus process with the first author for unclear speech segments. A patient partner was consulted at all study stages. Participants were purposively sampled from a single Canadian province, and an inductive thematic analysis was employed. </w:t>
      </w:r>
      <w:r w:rsidRPr="004E0963">
        <w:rPr>
          <w:rFonts w:ascii="Roboto" w:eastAsia="Times New Roman" w:hAnsi="Roboto" w:cs="Times New Roman"/>
          <w:b/>
          <w:bCs/>
          <w:color w:val="000000"/>
          <w:sz w:val="21"/>
          <w:szCs w:val="21"/>
          <w:lang w:eastAsia="en-GB"/>
        </w:rPr>
        <w:t>RESULT</w:t>
      </w:r>
      <w:r w:rsidRPr="004E0963">
        <w:rPr>
          <w:rFonts w:ascii="Roboto" w:eastAsia="Times New Roman" w:hAnsi="Roboto" w:cs="Times New Roman"/>
          <w:color w:val="000000"/>
          <w:sz w:val="21"/>
          <w:szCs w:val="21"/>
          <w:lang w:eastAsia="en-GB"/>
        </w:rPr>
        <w:t>: Twelve participants were enrolled between 9-33 years post cancer diagnosis. Four main themes were identified: a) Glad to be alive, but..., b) eating isn't the same, c) it changes everything, and d) a lot of gaps. </w:t>
      </w:r>
      <w:r w:rsidRPr="004E0963">
        <w:rPr>
          <w:rFonts w:ascii="Roboto" w:eastAsia="Times New Roman" w:hAnsi="Roboto" w:cs="Times New Roman"/>
          <w:b/>
          <w:bCs/>
          <w:color w:val="000000"/>
          <w:sz w:val="21"/>
          <w:szCs w:val="21"/>
          <w:lang w:eastAsia="en-GB"/>
        </w:rPr>
        <w:t>CONCLUSION</w:t>
      </w:r>
      <w:r w:rsidRPr="004E0963">
        <w:rPr>
          <w:rFonts w:ascii="Roboto" w:eastAsia="Times New Roman" w:hAnsi="Roboto" w:cs="Times New Roman"/>
          <w:color w:val="000000"/>
          <w:sz w:val="21"/>
          <w:szCs w:val="21"/>
          <w:lang w:eastAsia="en-GB"/>
        </w:rPr>
        <w:t>: We identified impacts beyond physiological changes. Social connection, daily logistics and eating related quality of life challenges were prevalent. Results highlight gaps in person-centred decision making and access to health care professionals who understand and recognise this complex condition. We recommend improved patient education, provider awareness, as well as monitoring and treatment for late effects.</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25" w:tgtFrame="_blank" w:history="1">
        <w:r w:rsidRPr="004E0963">
          <w:rPr>
            <w:rFonts w:ascii="Roboto" w:eastAsia="Times New Roman" w:hAnsi="Roboto" w:cs="Times New Roman"/>
            <w:color w:val="0066CC"/>
            <w:sz w:val="21"/>
            <w:szCs w:val="21"/>
            <w:u w:val="single"/>
            <w:lang w:eastAsia="en-GB"/>
          </w:rPr>
          <w:t>https://libkey.io/10.1080/17549507.2025.2555248</w:t>
        </w:r>
      </w:hyperlink>
    </w:p>
    <w:p w14:paraId="68647E1D" w14:textId="73EFD636"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4. </w:t>
      </w:r>
      <w:r w:rsidRPr="004E0963">
        <w:rPr>
          <w:rFonts w:ascii="Roboto" w:eastAsia="Times New Roman" w:hAnsi="Roboto" w:cs="Times New Roman"/>
          <w:b/>
          <w:bCs/>
          <w:color w:val="000000"/>
          <w:sz w:val="21"/>
          <w:szCs w:val="21"/>
          <w:lang w:eastAsia="en-GB"/>
        </w:rPr>
        <w:t>Dysphagia and Oral Health in Older Adults with Motoric Cognitive Risk Syndrome.</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xml:space="preserve"> Inal </w:t>
      </w:r>
      <w:proofErr w:type="spellStart"/>
      <w:r w:rsidRPr="004E0963">
        <w:rPr>
          <w:rFonts w:ascii="Roboto" w:eastAsia="Times New Roman" w:hAnsi="Roboto" w:cs="Times New Roman"/>
          <w:color w:val="000000"/>
          <w:sz w:val="21"/>
          <w:szCs w:val="21"/>
          <w:lang w:eastAsia="en-GB"/>
        </w:rPr>
        <w:t>Ozun</w:t>
      </w:r>
      <w:proofErr w:type="spellEnd"/>
      <w:r w:rsidRPr="004E0963">
        <w:rPr>
          <w:rFonts w:ascii="Roboto" w:eastAsia="Times New Roman" w:hAnsi="Roboto" w:cs="Times New Roman"/>
          <w:color w:val="000000"/>
          <w:sz w:val="21"/>
          <w:szCs w:val="21"/>
          <w:lang w:eastAsia="en-GB"/>
        </w:rPr>
        <w:t xml:space="preserve">, </w:t>
      </w:r>
      <w:proofErr w:type="spellStart"/>
      <w:proofErr w:type="gramStart"/>
      <w:r w:rsidRPr="004E0963">
        <w:rPr>
          <w:rFonts w:ascii="Roboto" w:eastAsia="Times New Roman" w:hAnsi="Roboto" w:cs="Times New Roman"/>
          <w:color w:val="000000"/>
          <w:sz w:val="21"/>
          <w:szCs w:val="21"/>
          <w:lang w:eastAsia="en-GB"/>
        </w:rPr>
        <w:t>Ozgu;Demirdel</w:t>
      </w:r>
      <w:proofErr w:type="spellEnd"/>
      <w:proofErr w:type="gramEnd"/>
      <w:r w:rsidRPr="004E0963">
        <w:rPr>
          <w:rFonts w:ascii="Roboto" w:eastAsia="Times New Roman" w:hAnsi="Roboto" w:cs="Times New Roman"/>
          <w:color w:val="000000"/>
          <w:sz w:val="21"/>
          <w:szCs w:val="21"/>
          <w:lang w:eastAsia="en-GB"/>
        </w:rPr>
        <w:t xml:space="preserve">, </w:t>
      </w:r>
      <w:proofErr w:type="spellStart"/>
      <w:proofErr w:type="gramStart"/>
      <w:r w:rsidRPr="004E0963">
        <w:rPr>
          <w:rFonts w:ascii="Roboto" w:eastAsia="Times New Roman" w:hAnsi="Roboto" w:cs="Times New Roman"/>
          <w:color w:val="000000"/>
          <w:sz w:val="21"/>
          <w:szCs w:val="21"/>
          <w:lang w:eastAsia="en-GB"/>
        </w:rPr>
        <w:t>Senem;Un</w:t>
      </w:r>
      <w:proofErr w:type="spellEnd"/>
      <w:proofErr w:type="gramEnd"/>
      <w:r w:rsidRPr="004E0963">
        <w:rPr>
          <w:rFonts w:ascii="Roboto" w:eastAsia="Times New Roman" w:hAnsi="Roboto" w:cs="Times New Roman"/>
          <w:color w:val="000000"/>
          <w:sz w:val="21"/>
          <w:szCs w:val="21"/>
          <w:lang w:eastAsia="en-GB"/>
        </w:rPr>
        <w:t xml:space="preserve"> Yildirim, Necmiye and </w:t>
      </w:r>
      <w:proofErr w:type="spellStart"/>
      <w:r w:rsidRPr="004E0963">
        <w:rPr>
          <w:rFonts w:ascii="Roboto" w:eastAsia="Times New Roman" w:hAnsi="Roboto" w:cs="Times New Roman"/>
          <w:color w:val="000000"/>
          <w:sz w:val="21"/>
          <w:szCs w:val="21"/>
          <w:lang w:eastAsia="en-GB"/>
        </w:rPr>
        <w:t>Naharci</w:t>
      </w:r>
      <w:proofErr w:type="spellEnd"/>
      <w:r w:rsidRPr="004E0963">
        <w:rPr>
          <w:rFonts w:ascii="Roboto" w:eastAsia="Times New Roman" w:hAnsi="Roboto" w:cs="Times New Roman"/>
          <w:color w:val="000000"/>
          <w:sz w:val="21"/>
          <w:szCs w:val="21"/>
          <w:lang w:eastAsia="en-GB"/>
        </w:rPr>
        <w:t>, Mehmet Ilkin</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Dysphagia</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lastRenderedPageBreak/>
        <w:t>Abstract: </w:t>
      </w:r>
      <w:r w:rsidRPr="004E0963">
        <w:rPr>
          <w:rFonts w:ascii="Roboto" w:eastAsia="Times New Roman" w:hAnsi="Roboto" w:cs="Times New Roman"/>
          <w:color w:val="000000"/>
          <w:sz w:val="21"/>
          <w:szCs w:val="21"/>
          <w:lang w:eastAsia="en-GB"/>
        </w:rPr>
        <w:t>Slow gait speed and subjective cognitive decline in older adults are characteristics of motoric cognitive risk syndrome (MCRS). Dysphagia and oral health may be connected to MCRS because they are linked to both motor function and cognitive performance. This study aimed to investigate dysphagia and oral health among older adults with MCRS. Community-dwelling adults over 65 years of age who visited the geriatric outpatient clinic for regular check-ups were included (N = 152). Socio-demographic and clinical data were collected, and the Eating Assessment Tool (EAT-10) and Geriatric Oral Health Assessment Index (GOHAI) were implemented. Participants were divided into two groups as MCRS (N = 36) and non-MCRS (N = 116). Poorer GOHAI and EAT-10 scores were observed in the MCRS group (p &lt; 0.05 for all). After adjusting for potential confounding factors, higher EAT-10 scores were found to be independently associated with MCRS (OR = 1.13, 95% CI: 1.04-1.23, p = 0.005), but not GOHAI scores. Our findings indicated an association between dysphagia and MCRS in older adults. This is the first study in the literature to examine the association between dysphagia and oral health among older adults with MCRS. MCRS is a very recent topic in the literature and the parameters associated with MCRS are not clear. This study will contribute to the literature filling an important gap because a better understanding of the mechanisms linking these two comorbidities is vital for the development of targeted interventions aimed at reducing swallowing difficulties in patients with MCRS.</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t>Copyright © 2025. The Author(s).</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26" w:tgtFrame="_blank" w:history="1">
        <w:r w:rsidRPr="004E0963">
          <w:rPr>
            <w:rFonts w:ascii="Roboto" w:eastAsia="Times New Roman" w:hAnsi="Roboto" w:cs="Times New Roman"/>
            <w:color w:val="0066CC"/>
            <w:sz w:val="21"/>
            <w:szCs w:val="21"/>
            <w:u w:val="single"/>
            <w:lang w:eastAsia="en-GB"/>
          </w:rPr>
          <w:t>https://libkey.io/10.1007/s00455-025-10849-9</w:t>
        </w:r>
      </w:hyperlink>
    </w:p>
    <w:p w14:paraId="7246FB5E" w14:textId="7436C350"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5. </w:t>
      </w:r>
      <w:r w:rsidRPr="004E0963">
        <w:rPr>
          <w:rFonts w:ascii="Roboto" w:eastAsia="Times New Roman" w:hAnsi="Roboto" w:cs="Times New Roman"/>
          <w:b/>
          <w:bCs/>
          <w:color w:val="000000"/>
          <w:sz w:val="21"/>
          <w:szCs w:val="21"/>
          <w:lang w:eastAsia="en-GB"/>
        </w:rPr>
        <w:t>Swallowing Guidance with FEES May Alleviate Symptoms in Functional Dysphagia.</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xml:space="preserve"> Kuuskoski, </w:t>
      </w:r>
      <w:proofErr w:type="spellStart"/>
      <w:proofErr w:type="gramStart"/>
      <w:r w:rsidRPr="004E0963">
        <w:rPr>
          <w:rFonts w:ascii="Roboto" w:eastAsia="Times New Roman" w:hAnsi="Roboto" w:cs="Times New Roman"/>
          <w:color w:val="000000"/>
          <w:sz w:val="21"/>
          <w:szCs w:val="21"/>
          <w:lang w:eastAsia="en-GB"/>
        </w:rPr>
        <w:t>Jonna;Rekola</w:t>
      </w:r>
      <w:proofErr w:type="spellEnd"/>
      <w:proofErr w:type="gramEnd"/>
      <w:r w:rsidRPr="004E0963">
        <w:rPr>
          <w:rFonts w:ascii="Roboto" w:eastAsia="Times New Roman" w:hAnsi="Roboto" w:cs="Times New Roman"/>
          <w:color w:val="000000"/>
          <w:sz w:val="21"/>
          <w:szCs w:val="21"/>
          <w:lang w:eastAsia="en-GB"/>
        </w:rPr>
        <w:t xml:space="preserve">, </w:t>
      </w:r>
      <w:proofErr w:type="spellStart"/>
      <w:proofErr w:type="gramStart"/>
      <w:r w:rsidRPr="004E0963">
        <w:rPr>
          <w:rFonts w:ascii="Roboto" w:eastAsia="Times New Roman" w:hAnsi="Roboto" w:cs="Times New Roman"/>
          <w:color w:val="000000"/>
          <w:sz w:val="21"/>
          <w:szCs w:val="21"/>
          <w:lang w:eastAsia="en-GB"/>
        </w:rPr>
        <w:t>Jami;Sintonen</w:t>
      </w:r>
      <w:proofErr w:type="spellEnd"/>
      <w:proofErr w:type="gramEnd"/>
      <w:r w:rsidRPr="004E0963">
        <w:rPr>
          <w:rFonts w:ascii="Roboto" w:eastAsia="Times New Roman" w:hAnsi="Roboto" w:cs="Times New Roman"/>
          <w:color w:val="000000"/>
          <w:sz w:val="21"/>
          <w:szCs w:val="21"/>
          <w:lang w:eastAsia="en-GB"/>
        </w:rPr>
        <w:t xml:space="preserve">, </w:t>
      </w:r>
      <w:proofErr w:type="spellStart"/>
      <w:proofErr w:type="gramStart"/>
      <w:r w:rsidRPr="004E0963">
        <w:rPr>
          <w:rFonts w:ascii="Roboto" w:eastAsia="Times New Roman" w:hAnsi="Roboto" w:cs="Times New Roman"/>
          <w:color w:val="000000"/>
          <w:sz w:val="21"/>
          <w:szCs w:val="21"/>
          <w:lang w:eastAsia="en-GB"/>
        </w:rPr>
        <w:t>Harri;Aaltonen</w:t>
      </w:r>
      <w:proofErr w:type="spellEnd"/>
      <w:proofErr w:type="gramEnd"/>
      <w:r w:rsidRPr="004E0963">
        <w:rPr>
          <w:rFonts w:ascii="Roboto" w:eastAsia="Times New Roman" w:hAnsi="Roboto" w:cs="Times New Roman"/>
          <w:color w:val="000000"/>
          <w:sz w:val="21"/>
          <w:szCs w:val="21"/>
          <w:lang w:eastAsia="en-GB"/>
        </w:rPr>
        <w:t xml:space="preserve">, Leena-Maija and </w:t>
      </w:r>
      <w:proofErr w:type="spellStart"/>
      <w:r w:rsidRPr="004E0963">
        <w:rPr>
          <w:rFonts w:ascii="Roboto" w:eastAsia="Times New Roman" w:hAnsi="Roboto" w:cs="Times New Roman"/>
          <w:color w:val="000000"/>
          <w:sz w:val="21"/>
          <w:szCs w:val="21"/>
          <w:lang w:eastAsia="en-GB"/>
        </w:rPr>
        <w:t>Jarvenpaa</w:t>
      </w:r>
      <w:proofErr w:type="spellEnd"/>
      <w:r w:rsidRPr="004E0963">
        <w:rPr>
          <w:rFonts w:ascii="Roboto" w:eastAsia="Times New Roman" w:hAnsi="Roboto" w:cs="Times New Roman"/>
          <w:color w:val="000000"/>
          <w:sz w:val="21"/>
          <w:szCs w:val="21"/>
          <w:lang w:eastAsia="en-GB"/>
        </w:rPr>
        <w:t>, Pia</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Dysphagia</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w:t>
      </w:r>
      <w:r w:rsidRPr="004E0963">
        <w:rPr>
          <w:rFonts w:ascii="Roboto" w:eastAsia="Times New Roman" w:hAnsi="Roboto" w:cs="Times New Roman"/>
          <w:color w:val="000000"/>
          <w:sz w:val="21"/>
          <w:szCs w:val="21"/>
          <w:lang w:eastAsia="en-GB"/>
        </w:rPr>
        <w:t>Dysphagia is a common concern. In an outpatient phoniatric and otorhinolaryngology clinic, approximately one fourth of dysphagia patients are classified as having non-organic, or functional dysphagia. This study aimed to evaluate symptom severity, health-related quality of life (</w:t>
      </w:r>
      <w:proofErr w:type="spellStart"/>
      <w:r w:rsidRPr="004E0963">
        <w:rPr>
          <w:rFonts w:ascii="Roboto" w:eastAsia="Times New Roman" w:hAnsi="Roboto" w:cs="Times New Roman"/>
          <w:color w:val="000000"/>
          <w:sz w:val="21"/>
          <w:szCs w:val="21"/>
          <w:lang w:eastAsia="en-GB"/>
        </w:rPr>
        <w:t>HRQoL</w:t>
      </w:r>
      <w:proofErr w:type="spellEnd"/>
      <w:r w:rsidRPr="004E0963">
        <w:rPr>
          <w:rFonts w:ascii="Roboto" w:eastAsia="Times New Roman" w:hAnsi="Roboto" w:cs="Times New Roman"/>
          <w:color w:val="000000"/>
          <w:sz w:val="21"/>
          <w:szCs w:val="21"/>
          <w:lang w:eastAsia="en-GB"/>
        </w:rPr>
        <w:t xml:space="preserve">) and disability among dysphagia patients. Additionally, it focused on assessing the impact of flexible endoscopic evaluation of swallowing (FEES) and swallowing guidance particularly for patients with functional dysphagia. We recruited 60 consecutive dysphagia patients from our phoniatrics clinic. They completed the Eating Assessment Tool (EAT-10), the 15D Health-related Quality of Life Instrument and the World Health Organization Disability Assessment Schedule (WHODAS 2.0) questionnaires before their appointments. We performed FEES and gave swallowing guidance. One month later, the patients repeated the EAT-10, 15D, and WHODAS 2.0. At one-month follow-up, the EAT-10 scores of all 60 dysphagia patients (median age 65, range 18-89 years, 70% female), and the functional dysphagia patients (n = 15, 25%) had decreased significantly (p = 0.020, p = 0.029, respectively). Although the changes in the 15D and WHODAS 2.0 scores were insignificant, the score of WHODAS 2.0 item D3.3 concerning eating had decreased significantly in the functional dysphagia group (p = 0.020). Comparison of the whole dysphagia patient cohort to an age- and gender-standardized sample of the general population revealed significant differences in 15D total scores (p &lt; 0.001) and 12 of the 15 dimensions. Dysphagia seems to significantly diminish patients' </w:t>
      </w:r>
      <w:proofErr w:type="spellStart"/>
      <w:r w:rsidRPr="004E0963">
        <w:rPr>
          <w:rFonts w:ascii="Roboto" w:eastAsia="Times New Roman" w:hAnsi="Roboto" w:cs="Times New Roman"/>
          <w:color w:val="000000"/>
          <w:sz w:val="21"/>
          <w:szCs w:val="21"/>
          <w:lang w:eastAsia="en-GB"/>
        </w:rPr>
        <w:t>HRQoL</w:t>
      </w:r>
      <w:proofErr w:type="spellEnd"/>
      <w:r w:rsidRPr="004E0963">
        <w:rPr>
          <w:rFonts w:ascii="Roboto" w:eastAsia="Times New Roman" w:hAnsi="Roboto" w:cs="Times New Roman"/>
          <w:color w:val="000000"/>
          <w:sz w:val="21"/>
          <w:szCs w:val="21"/>
          <w:lang w:eastAsia="en-GB"/>
        </w:rPr>
        <w:t xml:space="preserve"> in comparison to that of the general population. A short FEES intervention with swallowing guidance may alleviate symptoms, especially in functional dysphagia.</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t>Copyright © 2025. The Author(s).</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lastRenderedPageBreak/>
        <w:br/>
      </w:r>
      <w:r w:rsidRPr="004E0963">
        <w:rPr>
          <w:rFonts w:ascii="Roboto" w:eastAsia="Times New Roman" w:hAnsi="Roboto" w:cs="Times New Roman"/>
          <w:b/>
          <w:bCs/>
          <w:color w:val="000000"/>
          <w:sz w:val="21"/>
          <w:szCs w:val="21"/>
          <w:lang w:eastAsia="en-GB"/>
        </w:rPr>
        <w:t>Access or request full text: </w:t>
      </w:r>
      <w:hyperlink r:id="rId27" w:tgtFrame="_blank" w:history="1">
        <w:r w:rsidRPr="004E0963">
          <w:rPr>
            <w:rFonts w:ascii="Roboto" w:eastAsia="Times New Roman" w:hAnsi="Roboto" w:cs="Times New Roman"/>
            <w:color w:val="0066CC"/>
            <w:sz w:val="21"/>
            <w:szCs w:val="21"/>
            <w:u w:val="single"/>
            <w:lang w:eastAsia="en-GB"/>
          </w:rPr>
          <w:t>https://libkey.io/10.1007/s00455-025-10869-5</w:t>
        </w:r>
      </w:hyperlink>
    </w:p>
    <w:p w14:paraId="28264760" w14:textId="77777777"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6. </w:t>
      </w:r>
      <w:r w:rsidRPr="004E0963">
        <w:rPr>
          <w:rFonts w:ascii="Roboto" w:eastAsia="Times New Roman" w:hAnsi="Roboto" w:cs="Times New Roman"/>
          <w:b/>
          <w:bCs/>
          <w:color w:val="000000"/>
          <w:sz w:val="21"/>
          <w:szCs w:val="21"/>
          <w:lang w:eastAsia="en-GB"/>
        </w:rPr>
        <w:t>Frailty Status and Dysphagia Trajectory Among Hospitalized Nursing Home Residents With Advanced Dementia.</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xml:space="preserve"> Loy, Raele </w:t>
      </w:r>
      <w:proofErr w:type="spellStart"/>
      <w:r w:rsidRPr="004E0963">
        <w:rPr>
          <w:rFonts w:ascii="Roboto" w:eastAsia="Times New Roman" w:hAnsi="Roboto" w:cs="Times New Roman"/>
          <w:color w:val="000000"/>
          <w:sz w:val="21"/>
          <w:szCs w:val="21"/>
          <w:lang w:eastAsia="en-GB"/>
        </w:rPr>
        <w:t>Donetha;Howe</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Rebecca;Patel</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Sweta;Rogus-Pulia</w:t>
      </w:r>
      <w:proofErr w:type="spellEnd"/>
      <w:r w:rsidRPr="004E0963">
        <w:rPr>
          <w:rFonts w:ascii="Roboto" w:eastAsia="Times New Roman" w:hAnsi="Roboto" w:cs="Times New Roman"/>
          <w:color w:val="000000"/>
          <w:sz w:val="21"/>
          <w:szCs w:val="21"/>
          <w:lang w:eastAsia="en-GB"/>
        </w:rPr>
        <w:t>, Nicole and Rudolph, James L.</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Oct 06 ,2025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Journal of the American Medical Directors Association 26(12), pp. 105860</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OBJECTIVE</w:t>
      </w:r>
      <w:r w:rsidRPr="004E0963">
        <w:rPr>
          <w:rFonts w:ascii="Roboto" w:eastAsia="Times New Roman" w:hAnsi="Roboto" w:cs="Times New Roman"/>
          <w:color w:val="000000"/>
          <w:sz w:val="21"/>
          <w:szCs w:val="21"/>
          <w:lang w:eastAsia="en-GB"/>
        </w:rPr>
        <w:t>: The objective of this analysis was to describe the association of dysphagia and frailty in persons living with dementia (PLWD) residing in skilled nursing facilities (SNFs) who experienced hospitalization. </w:t>
      </w:r>
      <w:r w:rsidRPr="004E0963">
        <w:rPr>
          <w:rFonts w:ascii="Roboto" w:eastAsia="Times New Roman" w:hAnsi="Roboto" w:cs="Times New Roman"/>
          <w:b/>
          <w:bCs/>
          <w:color w:val="000000"/>
          <w:sz w:val="21"/>
          <w:szCs w:val="21"/>
          <w:lang w:eastAsia="en-GB"/>
        </w:rPr>
        <w:t>DESIGN</w:t>
      </w:r>
      <w:r w:rsidRPr="004E0963">
        <w:rPr>
          <w:rFonts w:ascii="Roboto" w:eastAsia="Times New Roman" w:hAnsi="Roboto" w:cs="Times New Roman"/>
          <w:color w:val="000000"/>
          <w:sz w:val="21"/>
          <w:szCs w:val="21"/>
          <w:lang w:eastAsia="en-GB"/>
        </w:rPr>
        <w:t>: Retrospective cohort. </w:t>
      </w:r>
      <w:r w:rsidRPr="004E0963">
        <w:rPr>
          <w:rFonts w:ascii="Roboto" w:eastAsia="Times New Roman" w:hAnsi="Roboto" w:cs="Times New Roman"/>
          <w:b/>
          <w:bCs/>
          <w:color w:val="000000"/>
          <w:sz w:val="21"/>
          <w:szCs w:val="21"/>
          <w:lang w:eastAsia="en-GB"/>
        </w:rPr>
        <w:t>SETTING AND PARTICIPANTS</w:t>
      </w:r>
      <w:r w:rsidRPr="004E0963">
        <w:rPr>
          <w:rFonts w:ascii="Roboto" w:eastAsia="Times New Roman" w:hAnsi="Roboto" w:cs="Times New Roman"/>
          <w:color w:val="000000"/>
          <w:sz w:val="21"/>
          <w:szCs w:val="21"/>
          <w:lang w:eastAsia="en-GB"/>
        </w:rPr>
        <w:t>: Long-stay US nursing home residents from 2012-2018 with advanced dementia who experienced a hospitalization. </w:t>
      </w:r>
      <w:r w:rsidRPr="004E0963">
        <w:rPr>
          <w:rFonts w:ascii="Roboto" w:eastAsia="Times New Roman" w:hAnsi="Roboto" w:cs="Times New Roman"/>
          <w:b/>
          <w:bCs/>
          <w:color w:val="000000"/>
          <w:sz w:val="21"/>
          <w:szCs w:val="21"/>
          <w:lang w:eastAsia="en-GB"/>
        </w:rPr>
        <w:t>METHODS</w:t>
      </w:r>
      <w:r w:rsidRPr="004E0963">
        <w:rPr>
          <w:rFonts w:ascii="Roboto" w:eastAsia="Times New Roman" w:hAnsi="Roboto" w:cs="Times New Roman"/>
          <w:color w:val="000000"/>
          <w:sz w:val="21"/>
          <w:szCs w:val="21"/>
          <w:lang w:eastAsia="en-GB"/>
        </w:rPr>
        <w:t>: Among the cohort, we captured Minimum Data Set (MDS) assessments of dysphagia before and after hospitalization. MDS items were also used to measure FRAIL-NH (fatigue, resistance, ambulation, incontinence, weight loss, nutritional approach, help with dressing) scale components before hospitalization. Adjusted analyses identified the risk for dysphagia in the pre-hospital cohort and new dysphagia in the post-hospital cohort according to pre-hospital frailty status. </w:t>
      </w:r>
      <w:r w:rsidRPr="004E0963">
        <w:rPr>
          <w:rFonts w:ascii="Roboto" w:eastAsia="Times New Roman" w:hAnsi="Roboto" w:cs="Times New Roman"/>
          <w:b/>
          <w:bCs/>
          <w:color w:val="000000"/>
          <w:sz w:val="21"/>
          <w:szCs w:val="21"/>
          <w:lang w:eastAsia="en-GB"/>
        </w:rPr>
        <w:t>RESULTS</w:t>
      </w:r>
      <w:r w:rsidRPr="004E0963">
        <w:rPr>
          <w:rFonts w:ascii="Roboto" w:eastAsia="Times New Roman" w:hAnsi="Roboto" w:cs="Times New Roman"/>
          <w:color w:val="000000"/>
          <w:sz w:val="21"/>
          <w:szCs w:val="21"/>
          <w:lang w:eastAsia="en-GB"/>
        </w:rPr>
        <w:t xml:space="preserve">: Among the pre-hospital cohort (n = 1,207,345), 85% (n = 1,026,736) were classified as frail. Almost half of the cohort (n = 562,574, 46.6%) was on a mechanically altered diet. Dysphagia frequency was higher among frail residents (6.2% vs 2.4% prefrail vs 1.1% </w:t>
      </w:r>
      <w:proofErr w:type="spellStart"/>
      <w:r w:rsidRPr="004E0963">
        <w:rPr>
          <w:rFonts w:ascii="Roboto" w:eastAsia="Times New Roman" w:hAnsi="Roboto" w:cs="Times New Roman"/>
          <w:color w:val="000000"/>
          <w:sz w:val="21"/>
          <w:szCs w:val="21"/>
          <w:lang w:eastAsia="en-GB"/>
        </w:rPr>
        <w:t>nonfrail</w:t>
      </w:r>
      <w:proofErr w:type="spellEnd"/>
      <w:r w:rsidRPr="004E0963">
        <w:rPr>
          <w:rFonts w:ascii="Roboto" w:eastAsia="Times New Roman" w:hAnsi="Roboto" w:cs="Times New Roman"/>
          <w:color w:val="000000"/>
          <w:sz w:val="21"/>
          <w:szCs w:val="21"/>
          <w:lang w:eastAsia="en-GB"/>
        </w:rPr>
        <w:t>). After adjustment for demographics and comorbidities, frailty was associated with greater risk of dysphagia [adjusted incidence rate ratio (IRR), 3.97; 95% CI, 3.49-4.49]. Among those who survived hospitalization (n = 1,078,321), frailty was also associated with new dysphagia (adjusted IRR, 1.7; 95% CI, 1.6-1.7). </w:t>
      </w:r>
      <w:r w:rsidRPr="004E0963">
        <w:rPr>
          <w:rFonts w:ascii="Roboto" w:eastAsia="Times New Roman" w:hAnsi="Roboto" w:cs="Times New Roman"/>
          <w:b/>
          <w:bCs/>
          <w:color w:val="000000"/>
          <w:sz w:val="21"/>
          <w:szCs w:val="21"/>
          <w:lang w:eastAsia="en-GB"/>
        </w:rPr>
        <w:t>CONCLUSIONS AND IMPLICATIONS</w:t>
      </w:r>
      <w:r w:rsidRPr="004E0963">
        <w:rPr>
          <w:rFonts w:ascii="Roboto" w:eastAsia="Times New Roman" w:hAnsi="Roboto" w:cs="Times New Roman"/>
          <w:color w:val="000000"/>
          <w:sz w:val="21"/>
          <w:szCs w:val="21"/>
          <w:lang w:eastAsia="en-GB"/>
        </w:rPr>
        <w:t>: Frailty is associated with increased risk of dysphagia among PLWD residing in SNFs. Additionally, frail PLWD who experience hospitalization are at increased risk of new dysphagia. These results have important implications for designing interventions to decrease dysphagia among frail PLWD. Given the wide disparity between the rates of mechanically altered diets and dysphagia as determined by MDS items, additional validation studies on the use of the MDS in dysphagia are warranted.</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t>Copyright © 2025 Post-Acute and Long-Term Care Medical Association. All rights reserved.</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28" w:tgtFrame="_blank" w:history="1">
        <w:r w:rsidRPr="004E0963">
          <w:rPr>
            <w:rFonts w:ascii="Roboto" w:eastAsia="Times New Roman" w:hAnsi="Roboto" w:cs="Times New Roman"/>
            <w:color w:val="0066CC"/>
            <w:sz w:val="21"/>
            <w:szCs w:val="21"/>
            <w:u w:val="single"/>
            <w:lang w:eastAsia="en-GB"/>
          </w:rPr>
          <w:t>https://libkey.io/10.1016/j.jamda.2025.105860</w:t>
        </w:r>
      </w:hyperlink>
    </w:p>
    <w:p w14:paraId="5F8CFC06" w14:textId="5102D1C8"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7. </w:t>
      </w:r>
      <w:r w:rsidRPr="004E0963">
        <w:rPr>
          <w:rFonts w:ascii="Roboto" w:eastAsia="Times New Roman" w:hAnsi="Roboto" w:cs="Times New Roman"/>
          <w:b/>
          <w:bCs/>
          <w:color w:val="000000"/>
          <w:sz w:val="21"/>
          <w:szCs w:val="21"/>
          <w:lang w:eastAsia="en-GB"/>
        </w:rPr>
        <w:t>Determining the Social Determinants of Health That Influence Self-Reported Dysphagia: A Cross-Sectional Study.</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w:t>
      </w:r>
      <w:proofErr w:type="spellStart"/>
      <w:r w:rsidRPr="004E0963">
        <w:rPr>
          <w:rFonts w:ascii="Roboto" w:eastAsia="Times New Roman" w:hAnsi="Roboto" w:cs="Times New Roman"/>
          <w:color w:val="000000"/>
          <w:sz w:val="21"/>
          <w:szCs w:val="21"/>
          <w:lang w:eastAsia="en-GB"/>
        </w:rPr>
        <w:t>Mappanasingam</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Anittha;Stratford</w:t>
      </w:r>
      <w:proofErr w:type="spellEnd"/>
      <w:r w:rsidRPr="004E0963">
        <w:rPr>
          <w:rFonts w:ascii="Roboto" w:eastAsia="Times New Roman" w:hAnsi="Roboto" w:cs="Times New Roman"/>
          <w:color w:val="000000"/>
          <w:sz w:val="21"/>
          <w:szCs w:val="21"/>
          <w:lang w:eastAsia="en-GB"/>
        </w:rPr>
        <w:t xml:space="preserve">, Paul and </w:t>
      </w:r>
      <w:proofErr w:type="spellStart"/>
      <w:r w:rsidRPr="004E0963">
        <w:rPr>
          <w:rFonts w:ascii="Roboto" w:eastAsia="Times New Roman" w:hAnsi="Roboto" w:cs="Times New Roman"/>
          <w:color w:val="000000"/>
          <w:sz w:val="21"/>
          <w:szCs w:val="21"/>
          <w:lang w:eastAsia="en-GB"/>
        </w:rPr>
        <w:t>Namasivayam</w:t>
      </w:r>
      <w:proofErr w:type="spellEnd"/>
      <w:r w:rsidRPr="004E0963">
        <w:rPr>
          <w:rFonts w:ascii="Roboto" w:eastAsia="Times New Roman" w:hAnsi="Roboto" w:cs="Times New Roman"/>
          <w:color w:val="000000"/>
          <w:sz w:val="21"/>
          <w:szCs w:val="21"/>
          <w:lang w:eastAsia="en-GB"/>
        </w:rPr>
        <w:t>-MacDonald, Ashwini</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Sep 09 ,2025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American Journal of Speech-Language Pathology 1-12</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INTRODUCTION</w:t>
      </w:r>
      <w:r w:rsidRPr="004E0963">
        <w:rPr>
          <w:rFonts w:ascii="Roboto" w:eastAsia="Times New Roman" w:hAnsi="Roboto" w:cs="Times New Roman"/>
          <w:color w:val="000000"/>
          <w:sz w:val="21"/>
          <w:szCs w:val="21"/>
          <w:lang w:eastAsia="en-GB"/>
        </w:rPr>
        <w:t>: The prevalence of dysphagia has been increasing over the years, with some individuals at a greater risk. Social determinants of health (SDOH) can affect some individual's access to care and their health more than others. The objective of this study is to explore the role of SDOH on self-reported dysphagia in older adults (aged 65 years and older) living in the United States. </w:t>
      </w:r>
      <w:r w:rsidRPr="004E0963">
        <w:rPr>
          <w:rFonts w:ascii="Roboto" w:eastAsia="Times New Roman" w:hAnsi="Roboto" w:cs="Times New Roman"/>
          <w:b/>
          <w:bCs/>
          <w:color w:val="000000"/>
          <w:sz w:val="21"/>
          <w:szCs w:val="21"/>
          <w:lang w:eastAsia="en-GB"/>
        </w:rPr>
        <w:t>METHOD</w:t>
      </w:r>
      <w:r w:rsidRPr="004E0963">
        <w:rPr>
          <w:rFonts w:ascii="Roboto" w:eastAsia="Times New Roman" w:hAnsi="Roboto" w:cs="Times New Roman"/>
          <w:color w:val="000000"/>
          <w:sz w:val="21"/>
          <w:szCs w:val="21"/>
          <w:lang w:eastAsia="en-GB"/>
        </w:rPr>
        <w:t xml:space="preserve">: The 2022 National Health Interview Survey (NHIS) is a database that collects health information of over 35,000 individuals </w:t>
      </w:r>
      <w:r w:rsidRPr="004E0963">
        <w:rPr>
          <w:rFonts w:ascii="Roboto" w:eastAsia="Times New Roman" w:hAnsi="Roboto" w:cs="Times New Roman"/>
          <w:color w:val="000000"/>
          <w:sz w:val="21"/>
          <w:szCs w:val="21"/>
          <w:lang w:eastAsia="en-GB"/>
        </w:rPr>
        <w:lastRenderedPageBreak/>
        <w:t>across the United States. A secondary cross-sectional data analysis determined the SDOH that influence self-reported dysphagia in older adults. Demographic data were represented as mean and standard deviation for continuous data and as frequency and percentage for categorical data. Two parallel analyses were performed, a stepwise logistic regression analysis to unweighted data and a manual backward elimination to data applying the NHIS sampling weights for both a statistically driven model and a theory-driven model. </w:t>
      </w:r>
      <w:r w:rsidRPr="004E0963">
        <w:rPr>
          <w:rFonts w:ascii="Roboto" w:eastAsia="Times New Roman" w:hAnsi="Roboto" w:cs="Times New Roman"/>
          <w:b/>
          <w:bCs/>
          <w:color w:val="000000"/>
          <w:sz w:val="21"/>
          <w:szCs w:val="21"/>
          <w:lang w:eastAsia="en-GB"/>
        </w:rPr>
        <w:t>RESULTS</w:t>
      </w:r>
      <w:r w:rsidRPr="004E0963">
        <w:rPr>
          <w:rFonts w:ascii="Roboto" w:eastAsia="Times New Roman" w:hAnsi="Roboto" w:cs="Times New Roman"/>
          <w:color w:val="000000"/>
          <w:sz w:val="21"/>
          <w:szCs w:val="21"/>
          <w:lang w:eastAsia="en-GB"/>
        </w:rPr>
        <w:t>: For stepwise logistic regression analysis, employment, race, food insecurity, and housing were found to influence self-reported dysphagia in the statistically driven model, while all but housing were significant in theory-driven model. For the manual backward elimination analysis, employment and race were significant in both models. Older adults who were unemployed due to health/disability, or retirement, reported sometimes worrying about food affordability, and those who rented a house/apartment were more likely to report swallowing difficulties. Older adults who identified as Black/African American or Asian were less likely to report swallowing difficulties. </w:t>
      </w:r>
      <w:r w:rsidRPr="004E0963">
        <w:rPr>
          <w:rFonts w:ascii="Roboto" w:eastAsia="Times New Roman" w:hAnsi="Roboto" w:cs="Times New Roman"/>
          <w:b/>
          <w:bCs/>
          <w:color w:val="000000"/>
          <w:sz w:val="21"/>
          <w:szCs w:val="21"/>
          <w:lang w:eastAsia="en-GB"/>
        </w:rPr>
        <w:t>CONCLUSION</w:t>
      </w:r>
      <w:r w:rsidRPr="004E0963">
        <w:rPr>
          <w:rFonts w:ascii="Roboto" w:eastAsia="Times New Roman" w:hAnsi="Roboto" w:cs="Times New Roman"/>
          <w:color w:val="000000"/>
          <w:sz w:val="21"/>
          <w:szCs w:val="21"/>
          <w:lang w:eastAsia="en-GB"/>
        </w:rPr>
        <w:t>: More research needs to be done to examine the role of SDOH on dysphagia. Identifying these SDOH can allow clinicians to advocate for vulnerable populations to have accessible access to dysphagia screening and care.</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29" w:tgtFrame="_blank" w:history="1">
        <w:r w:rsidRPr="004E0963">
          <w:rPr>
            <w:rFonts w:ascii="Roboto" w:eastAsia="Times New Roman" w:hAnsi="Roboto" w:cs="Times New Roman"/>
            <w:color w:val="0066CC"/>
            <w:sz w:val="21"/>
            <w:szCs w:val="21"/>
            <w:u w:val="single"/>
            <w:lang w:eastAsia="en-GB"/>
          </w:rPr>
          <w:t>https://libkey.io/10.1044/2025_AJSLP-25-00122</w:t>
        </w:r>
      </w:hyperlink>
    </w:p>
    <w:p w14:paraId="3EAD5D54" w14:textId="0378EC03"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8. </w:t>
      </w:r>
      <w:r w:rsidRPr="004E0963">
        <w:rPr>
          <w:rFonts w:ascii="Roboto" w:eastAsia="Times New Roman" w:hAnsi="Roboto" w:cs="Times New Roman"/>
          <w:b/>
          <w:bCs/>
          <w:color w:val="000000"/>
          <w:sz w:val="21"/>
          <w:szCs w:val="21"/>
          <w:lang w:eastAsia="en-GB"/>
        </w:rPr>
        <w:t>Antipsychotic use and dysphagia risk in acute heart failure: a prospective cohort study.</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xml:space="preserve"> Matsuo, </w:t>
      </w:r>
      <w:proofErr w:type="spellStart"/>
      <w:r w:rsidRPr="004E0963">
        <w:rPr>
          <w:rFonts w:ascii="Roboto" w:eastAsia="Times New Roman" w:hAnsi="Roboto" w:cs="Times New Roman"/>
          <w:color w:val="000000"/>
          <w:sz w:val="21"/>
          <w:szCs w:val="21"/>
          <w:lang w:eastAsia="en-GB"/>
        </w:rPr>
        <w:t>Haruyo;Yoshimura</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Yoshihiro;Maeno</w:t>
      </w:r>
      <w:proofErr w:type="spellEnd"/>
      <w:r w:rsidRPr="004E0963">
        <w:rPr>
          <w:rFonts w:ascii="Roboto" w:eastAsia="Times New Roman" w:hAnsi="Roboto" w:cs="Times New Roman"/>
          <w:color w:val="000000"/>
          <w:sz w:val="21"/>
          <w:szCs w:val="21"/>
          <w:lang w:eastAsia="en-GB"/>
        </w:rPr>
        <w:t>, Yuichi and Tanaka, Sayoko</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Heart &amp; Vessels</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w:t>
      </w:r>
      <w:r w:rsidRPr="004E0963">
        <w:rPr>
          <w:rFonts w:ascii="Roboto" w:eastAsia="Times New Roman" w:hAnsi="Roboto" w:cs="Times New Roman"/>
          <w:color w:val="000000"/>
          <w:sz w:val="21"/>
          <w:szCs w:val="21"/>
          <w:lang w:eastAsia="en-GB"/>
        </w:rPr>
        <w:t>While antipsychotic drugs are known to induce dysphagia, their impact on patients with acute heart failure (AHF) remains largely unexplored. This study investigates the critical association between antipsychotic use and both swallowing and physical function in AHF patients. A prospective cohort study was conducted on hospitalized patients with AHF. We rigorously examined the relationship between antipsychotic drug use during hospitalization and outcomes at discharge. Antipsychotic drug use was defined as the regular administration of oral medication. The primary outcome was dysphagia, evaluated using the Food Intake Level Scale (FILS), with secondary outcomes including physical function (Barthel Index) and dysphagia incidence. We employed sophisticated statistical analyses, including multiple regression, logistic regression, and Cox proportional hazards models, adjusting for an extensive range of potential confounders to ensure robust results. Among 325 eligible patients (mean age 81.5 years, 53.2% female), our findings reveal a striking association between antipsychotic use and impaired swallowing function; with 34 patients (10.5%) in the antipsychotic drug use group. Antipsychotic users (34/325, 10.5% of cohort) showed significantly higher odds of dysphagia at discharge (OR = 7.724; 95% CI, 2.585-23.081, p &lt; 0.001) and increased dysphagia incidence during hospitalization (HR = 1.635, 95% CI, 1.002-2.669, p = 0.049). Notably, antipsychotic use was not associated with Barthel Index at discharge (beta = 0.015; p = 0.658), suggesting a specific effect on swallowing function. This study provides compelling evidence that antipsychotic use in AHF patients is associated with a markedly increased risk of dysphagia.</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t>Copyright © 2025. The Author(s), under exclusive licence to Sakakibara Heart Foundation.</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30" w:tgtFrame="_blank" w:history="1">
        <w:r w:rsidRPr="004E0963">
          <w:rPr>
            <w:rFonts w:ascii="Roboto" w:eastAsia="Times New Roman" w:hAnsi="Roboto" w:cs="Times New Roman"/>
            <w:color w:val="0066CC"/>
            <w:sz w:val="21"/>
            <w:szCs w:val="21"/>
            <w:u w:val="single"/>
            <w:lang w:eastAsia="en-GB"/>
          </w:rPr>
          <w:t>https://libkey.io/10.1007/s00380-025-02606-7</w:t>
        </w:r>
      </w:hyperlink>
    </w:p>
    <w:p w14:paraId="1BE22F9E" w14:textId="7A36B649"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9. </w:t>
      </w:r>
      <w:r w:rsidRPr="004E0963">
        <w:rPr>
          <w:rFonts w:ascii="Roboto" w:eastAsia="Times New Roman" w:hAnsi="Roboto" w:cs="Times New Roman"/>
          <w:b/>
          <w:bCs/>
          <w:color w:val="000000"/>
          <w:sz w:val="21"/>
          <w:szCs w:val="21"/>
          <w:lang w:eastAsia="en-GB"/>
        </w:rPr>
        <w:t>Association of maximal tongue pressure with dysphagia and prognosis in patients with acute heart failure.</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lastRenderedPageBreak/>
        <w:t>Authors:</w:t>
      </w:r>
      <w:r w:rsidRPr="004E0963">
        <w:rPr>
          <w:rFonts w:ascii="Roboto" w:eastAsia="Times New Roman" w:hAnsi="Roboto" w:cs="Times New Roman"/>
          <w:color w:val="000000"/>
          <w:sz w:val="21"/>
          <w:szCs w:val="21"/>
          <w:lang w:eastAsia="en-GB"/>
        </w:rPr>
        <w:t xml:space="preserve"> Matsuo, </w:t>
      </w:r>
      <w:proofErr w:type="spellStart"/>
      <w:r w:rsidRPr="004E0963">
        <w:rPr>
          <w:rFonts w:ascii="Roboto" w:eastAsia="Times New Roman" w:hAnsi="Roboto" w:cs="Times New Roman"/>
          <w:color w:val="000000"/>
          <w:sz w:val="21"/>
          <w:szCs w:val="21"/>
          <w:lang w:eastAsia="en-GB"/>
        </w:rPr>
        <w:t>Koji;Yoneki</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Kei;Kobayashi</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Kikka;Onoda</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Daiki;Mibu</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Kazuhiro;Suzuki</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Toru;Nakao</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Ken;Tatsuki</w:t>
      </w:r>
      <w:proofErr w:type="spellEnd"/>
      <w:r w:rsidRPr="004E0963">
        <w:rPr>
          <w:rFonts w:ascii="Roboto" w:eastAsia="Times New Roman" w:hAnsi="Roboto" w:cs="Times New Roman"/>
          <w:color w:val="000000"/>
          <w:sz w:val="21"/>
          <w:szCs w:val="21"/>
          <w:lang w:eastAsia="en-GB"/>
        </w:rPr>
        <w:t>, Hiroaki and Tamiya, Seiji</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Sep 13 ,2025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Clinical Nutrition ESPEN 70, pp. 99–106</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BACKGROUND &amp; AIMS</w:t>
      </w:r>
      <w:r w:rsidRPr="004E0963">
        <w:rPr>
          <w:rFonts w:ascii="Roboto" w:eastAsia="Times New Roman" w:hAnsi="Roboto" w:cs="Times New Roman"/>
          <w:color w:val="000000"/>
          <w:sz w:val="21"/>
          <w:szCs w:val="21"/>
          <w:lang w:eastAsia="en-GB"/>
        </w:rPr>
        <w:t>: Although dysphagia is a highly prevalent complication in patients with acute heart failure (AHF), current AHF guidelines lack guidance on methods for assessing swallowing function. This study aimed to assess the impact of maximal tongue pressure on the occurrence of dysphagia and prognosis of patients with AHF. </w:t>
      </w:r>
      <w:r w:rsidRPr="004E0963">
        <w:rPr>
          <w:rFonts w:ascii="Roboto" w:eastAsia="Times New Roman" w:hAnsi="Roboto" w:cs="Times New Roman"/>
          <w:b/>
          <w:bCs/>
          <w:color w:val="000000"/>
          <w:sz w:val="21"/>
          <w:szCs w:val="21"/>
          <w:lang w:eastAsia="en-GB"/>
        </w:rPr>
        <w:t>METHODS</w:t>
      </w:r>
      <w:r w:rsidRPr="004E0963">
        <w:rPr>
          <w:rFonts w:ascii="Roboto" w:eastAsia="Times New Roman" w:hAnsi="Roboto" w:cs="Times New Roman"/>
          <w:color w:val="000000"/>
          <w:sz w:val="21"/>
          <w:szCs w:val="21"/>
          <w:lang w:eastAsia="en-GB"/>
        </w:rPr>
        <w:t xml:space="preserve">: This observational study conducted at a single </w:t>
      </w:r>
      <w:proofErr w:type="spellStart"/>
      <w:r w:rsidRPr="004E0963">
        <w:rPr>
          <w:rFonts w:ascii="Roboto" w:eastAsia="Times New Roman" w:hAnsi="Roboto" w:cs="Times New Roman"/>
          <w:color w:val="000000"/>
          <w:sz w:val="21"/>
          <w:szCs w:val="21"/>
          <w:lang w:eastAsia="en-GB"/>
        </w:rPr>
        <w:t>center</w:t>
      </w:r>
      <w:proofErr w:type="spellEnd"/>
      <w:r w:rsidRPr="004E0963">
        <w:rPr>
          <w:rFonts w:ascii="Roboto" w:eastAsia="Times New Roman" w:hAnsi="Roboto" w:cs="Times New Roman"/>
          <w:color w:val="000000"/>
          <w:sz w:val="21"/>
          <w:szCs w:val="21"/>
          <w:lang w:eastAsia="en-GB"/>
        </w:rPr>
        <w:t xml:space="preserve"> included 406 patients (mean age 79.4 +/- 11.9 years, 170 women) with a diagnosis of AHF and without pre-admission dysphagia (Food Intake LEVEL Scale [FILS] &gt;=9). Patients were categorized into high tongue pressure group (&gt;=20 kPa) and low tongue pressure group (=9 for the first-time during hospitalization. </w:t>
      </w:r>
      <w:r w:rsidRPr="004E0963">
        <w:rPr>
          <w:rFonts w:ascii="Roboto" w:eastAsia="Times New Roman" w:hAnsi="Roboto" w:cs="Times New Roman"/>
          <w:b/>
          <w:bCs/>
          <w:color w:val="000000"/>
          <w:sz w:val="21"/>
          <w:szCs w:val="21"/>
          <w:lang w:eastAsia="en-GB"/>
        </w:rPr>
        <w:t>RESULTS</w:t>
      </w:r>
      <w:r w:rsidRPr="004E0963">
        <w:rPr>
          <w:rFonts w:ascii="Roboto" w:eastAsia="Times New Roman" w:hAnsi="Roboto" w:cs="Times New Roman"/>
          <w:color w:val="000000"/>
          <w:sz w:val="21"/>
          <w:szCs w:val="21"/>
          <w:lang w:eastAsia="en-GB"/>
        </w:rPr>
        <w:t>: During the hospitalization period, 347 patients (85.5 %) experienced FILS improvement and 36 patients (8.9 %) died during a mean follow-up period of 7.5 ± 3.9 months. Survival analysis revealed that the low tongue pressure group, in comparison to the high tongue pressure group, exhibited notably poorer cumulative FILS improvement rate (log-rank: P &lt; 0.001, adjusted hazard ratio [HR], 0.61; 95 % confidence interval [CI], 0.46-0.82; P = 0.001) and elevated cumulative mortality rate (log-rank: P &lt; 0.001, adjusted HR, 2.38; 95%CI, 1.14-4.98 P = 0.021). </w:t>
      </w:r>
      <w:r w:rsidRPr="004E0963">
        <w:rPr>
          <w:rFonts w:ascii="Roboto" w:eastAsia="Times New Roman" w:hAnsi="Roboto" w:cs="Times New Roman"/>
          <w:b/>
          <w:bCs/>
          <w:color w:val="000000"/>
          <w:sz w:val="21"/>
          <w:szCs w:val="21"/>
          <w:lang w:eastAsia="en-GB"/>
        </w:rPr>
        <w:t>CONCLUSION</w:t>
      </w:r>
      <w:r w:rsidRPr="004E0963">
        <w:rPr>
          <w:rFonts w:ascii="Roboto" w:eastAsia="Times New Roman" w:hAnsi="Roboto" w:cs="Times New Roman"/>
          <w:color w:val="000000"/>
          <w:sz w:val="21"/>
          <w:szCs w:val="21"/>
          <w:lang w:eastAsia="en-GB"/>
        </w:rPr>
        <w:t>: A decrease in maximal tongue pressure was correlated with an increased risk of developing dysphagia and all-cause mortality in patients with AHF.</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t>Copyright © 2025 European Society for Clinical Nutrition and Metabolism. Published by Elsevier Ltd. All rights reserved.</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31" w:tgtFrame="_blank" w:history="1">
        <w:r w:rsidRPr="004E0963">
          <w:rPr>
            <w:rFonts w:ascii="Roboto" w:eastAsia="Times New Roman" w:hAnsi="Roboto" w:cs="Times New Roman"/>
            <w:color w:val="0066CC"/>
            <w:sz w:val="21"/>
            <w:szCs w:val="21"/>
            <w:u w:val="single"/>
            <w:lang w:eastAsia="en-GB"/>
          </w:rPr>
          <w:t>https://libkey.io/10.1016/j.clnesp.2025.09.009</w:t>
        </w:r>
      </w:hyperlink>
    </w:p>
    <w:p w14:paraId="4F497A8B" w14:textId="581046CC"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10. </w:t>
      </w:r>
      <w:r w:rsidRPr="004E0963">
        <w:rPr>
          <w:rFonts w:ascii="Roboto" w:eastAsia="Times New Roman" w:hAnsi="Roboto" w:cs="Times New Roman"/>
          <w:b/>
          <w:bCs/>
          <w:color w:val="000000"/>
          <w:sz w:val="21"/>
          <w:szCs w:val="21"/>
          <w:lang w:eastAsia="en-GB"/>
        </w:rPr>
        <w:t>Hypoglossal Neuropathy in the Pathogenesis of Fibrosis-Related Late-Radiation Associated Dysphagia: A Correlative Analysis Utilizing Electromyography to Explore the Frequency of Clinical and Subclinical Neuropathy in a Pilot Dysphagia Trial.</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xml:space="preserve"> McMillan, </w:t>
      </w:r>
      <w:proofErr w:type="spellStart"/>
      <w:r w:rsidRPr="004E0963">
        <w:rPr>
          <w:rFonts w:ascii="Roboto" w:eastAsia="Times New Roman" w:hAnsi="Roboto" w:cs="Times New Roman"/>
          <w:color w:val="000000"/>
          <w:sz w:val="21"/>
          <w:szCs w:val="21"/>
          <w:lang w:eastAsia="en-GB"/>
        </w:rPr>
        <w:t>Holly;Okoro</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Christine;Buoy</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Sheila;Woodman</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Karin;Anderson</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Nicolaas;Fuller</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Clifton;Lai</w:t>
      </w:r>
      <w:proofErr w:type="spellEnd"/>
      <w:r w:rsidRPr="004E0963">
        <w:rPr>
          <w:rFonts w:ascii="Roboto" w:eastAsia="Times New Roman" w:hAnsi="Roboto" w:cs="Times New Roman"/>
          <w:color w:val="000000"/>
          <w:sz w:val="21"/>
          <w:szCs w:val="21"/>
          <w:lang w:eastAsia="en-GB"/>
        </w:rPr>
        <w:t>, Stephen Y. and Hutcheson, Katherine</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Head &amp; Neck</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BACKGROUND</w:t>
      </w:r>
      <w:r w:rsidRPr="004E0963">
        <w:rPr>
          <w:rFonts w:ascii="Roboto" w:eastAsia="Times New Roman" w:hAnsi="Roboto" w:cs="Times New Roman"/>
          <w:color w:val="000000"/>
          <w:sz w:val="21"/>
          <w:szCs w:val="21"/>
          <w:lang w:eastAsia="en-GB"/>
        </w:rPr>
        <w:t>: Late radiation-associated dysphagia (late-RAD) commonly presents in patients with signs of hypoglossal neuropathy, with hallmark clinical features including lingual atrophy, deviation, and fasciculation. Gold-standard electromyography (EMG) has not been used to explore the frequency of hypoglossal neuropathy in patients with late-RAD. </w:t>
      </w:r>
      <w:r w:rsidRPr="004E0963">
        <w:rPr>
          <w:rFonts w:ascii="Roboto" w:eastAsia="Times New Roman" w:hAnsi="Roboto" w:cs="Times New Roman"/>
          <w:b/>
          <w:bCs/>
          <w:color w:val="000000"/>
          <w:sz w:val="21"/>
          <w:szCs w:val="21"/>
          <w:lang w:eastAsia="en-GB"/>
        </w:rPr>
        <w:t>METHODS</w:t>
      </w:r>
      <w:r w:rsidRPr="004E0963">
        <w:rPr>
          <w:rFonts w:ascii="Roboto" w:eastAsia="Times New Roman" w:hAnsi="Roboto" w:cs="Times New Roman"/>
          <w:color w:val="000000"/>
          <w:sz w:val="21"/>
          <w:szCs w:val="21"/>
          <w:lang w:eastAsia="en-GB"/>
        </w:rPr>
        <w:t>: Exploratory post hoc secondary analysis of MANTLE trial (NCT03612531) was completed. The presence of cranial nerve XII (CN XII) neuropathy was classified by (1) features of clinical assessment as well as (2) intramuscular genioglossus EMG pre-MANTLE intervention in disease-free HNC survivors &gt;= 2 years post-radiotherapy (RT) with grade &gt;= 2 fibrosis and dysphagia. </w:t>
      </w:r>
      <w:r w:rsidRPr="004E0963">
        <w:rPr>
          <w:rFonts w:ascii="Roboto" w:eastAsia="Times New Roman" w:hAnsi="Roboto" w:cs="Times New Roman"/>
          <w:b/>
          <w:bCs/>
          <w:color w:val="000000"/>
          <w:sz w:val="21"/>
          <w:szCs w:val="21"/>
          <w:lang w:eastAsia="en-GB"/>
        </w:rPr>
        <w:t>RESULTS</w:t>
      </w:r>
      <w:r w:rsidRPr="004E0963">
        <w:rPr>
          <w:rFonts w:ascii="Roboto" w:eastAsia="Times New Roman" w:hAnsi="Roboto" w:cs="Times New Roman"/>
          <w:color w:val="000000"/>
          <w:sz w:val="21"/>
          <w:szCs w:val="21"/>
          <w:lang w:eastAsia="en-GB"/>
        </w:rPr>
        <w:t>: All 13 patients with late-RAD (median 8.3 years post-RT) who consecutively underwent needle EMG had neurophysiological evidence of hypoglossal neuropathy, while 31% of neuropathy cases were subclinical without clear clinical signs of denervation. Exploratory subgroup analyses revealed worse function and fibrosis among late-RAD cases whose neuropathy had progressed to clinical stages. </w:t>
      </w:r>
      <w:r w:rsidRPr="004E0963">
        <w:rPr>
          <w:rFonts w:ascii="Roboto" w:eastAsia="Times New Roman" w:hAnsi="Roboto" w:cs="Times New Roman"/>
          <w:b/>
          <w:bCs/>
          <w:color w:val="000000"/>
          <w:sz w:val="21"/>
          <w:szCs w:val="21"/>
          <w:lang w:eastAsia="en-GB"/>
        </w:rPr>
        <w:t>CONCLUSIONS</w:t>
      </w:r>
      <w:r w:rsidRPr="004E0963">
        <w:rPr>
          <w:rFonts w:ascii="Roboto" w:eastAsia="Times New Roman" w:hAnsi="Roboto" w:cs="Times New Roman"/>
          <w:color w:val="000000"/>
          <w:sz w:val="21"/>
          <w:szCs w:val="21"/>
          <w:lang w:eastAsia="en-GB"/>
        </w:rPr>
        <w:t xml:space="preserve">: Findings suggest that hypoglossal </w:t>
      </w:r>
      <w:r w:rsidRPr="004E0963">
        <w:rPr>
          <w:rFonts w:ascii="Roboto" w:eastAsia="Times New Roman" w:hAnsi="Roboto" w:cs="Times New Roman"/>
          <w:color w:val="000000"/>
          <w:sz w:val="21"/>
          <w:szCs w:val="21"/>
          <w:lang w:eastAsia="en-GB"/>
        </w:rPr>
        <w:lastRenderedPageBreak/>
        <w:t>neuropathy is universally present in patients with fibrosis-related late-RAD, supporting a hypothesis that cranial neuropathy is in the mechanistic pathway. Subclinical hypoglossal neuropathy is evident on EMG assessment before clinical presentation at earlier stages of functional impairment.</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t>Copyright © 2025 The Author(s). Head &amp; Neck published by Wiley Periodicals LLC.</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32" w:tgtFrame="_blank" w:history="1">
        <w:r w:rsidRPr="004E0963">
          <w:rPr>
            <w:rFonts w:ascii="Roboto" w:eastAsia="Times New Roman" w:hAnsi="Roboto" w:cs="Times New Roman"/>
            <w:color w:val="0066CC"/>
            <w:sz w:val="21"/>
            <w:szCs w:val="21"/>
            <w:u w:val="single"/>
            <w:lang w:eastAsia="en-GB"/>
          </w:rPr>
          <w:t>https://libkey.io/10.1002/hed.70024</w:t>
        </w:r>
      </w:hyperlink>
    </w:p>
    <w:p w14:paraId="50EEFE89" w14:textId="1F032E34"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11. </w:t>
      </w:r>
      <w:r w:rsidRPr="004E0963">
        <w:rPr>
          <w:rFonts w:ascii="Roboto" w:eastAsia="Times New Roman" w:hAnsi="Roboto" w:cs="Times New Roman"/>
          <w:b/>
          <w:bCs/>
          <w:color w:val="000000"/>
          <w:sz w:val="21"/>
          <w:szCs w:val="21"/>
          <w:lang w:eastAsia="en-GB"/>
        </w:rPr>
        <w:t>Effect of Localized Muscle Vibration on Oral and Swallowing Pressure in Patients with Dysphagia Following Stroke.</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xml:space="preserve"> Oh, </w:t>
      </w:r>
      <w:proofErr w:type="spellStart"/>
      <w:r w:rsidRPr="004E0963">
        <w:rPr>
          <w:rFonts w:ascii="Roboto" w:eastAsia="Times New Roman" w:hAnsi="Roboto" w:cs="Times New Roman"/>
          <w:color w:val="000000"/>
          <w:sz w:val="21"/>
          <w:szCs w:val="21"/>
          <w:lang w:eastAsia="en-GB"/>
        </w:rPr>
        <w:t>Jong-Chi;Shin</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Min-Sook;Son</w:t>
      </w:r>
      <w:proofErr w:type="spellEnd"/>
      <w:r w:rsidRPr="004E0963">
        <w:rPr>
          <w:rFonts w:ascii="Roboto" w:eastAsia="Times New Roman" w:hAnsi="Roboto" w:cs="Times New Roman"/>
          <w:color w:val="000000"/>
          <w:sz w:val="21"/>
          <w:szCs w:val="21"/>
          <w:lang w:eastAsia="en-GB"/>
        </w:rPr>
        <w:t>, Mo-A and Kim, Hyeon-Ji</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Dysphagia</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w:t>
      </w:r>
      <w:r w:rsidRPr="004E0963">
        <w:rPr>
          <w:rFonts w:ascii="Roboto" w:eastAsia="Times New Roman" w:hAnsi="Roboto" w:cs="Times New Roman"/>
          <w:color w:val="000000"/>
          <w:sz w:val="21"/>
          <w:szCs w:val="21"/>
          <w:lang w:eastAsia="en-GB"/>
        </w:rPr>
        <w:t>This study examined the effects of vibratory stimulation on swallowing-related muscle strength in patients with dysphagia due to stroke, using three types of stimulators and a systematic exercise program. This study was conducted in two stages. In Experiment 1, we examined the effects of three types of vibratory stimulation on the pressure of the tongue and lips (N = 23). In Experiment 2, the effect of submental vibratory stimulation applied during the effortful swallowing (ES) exercise program-consisting of five sets-on swallowing pressure, was examined (N = 37). Vibratory stimulation was applied to the corresponding muscles for 1 min immediately prior to measuring isometric peak pressure or swallowing pressure of the tongue and lips. In Experiment 1, the electric toothbrush showed a limited increase in strength in two tongue-related variables, while the mini-massager and customized vibratory stimulator showed significant increases in strength in all five variables related to tongue and lip pressure (p &lt; 0.05). In Experiment 2, it was found that vibration applied to the submental area for 1 min before each set of ES exercises, consisting of 10 repetitions, significantly increased oral swallowing pressure. This study shows the following preliminary results, which are encouraging and require replication: vibratory stimulation applied to swallowing-related muscles can significantly increase their strength in the short term. Further research through larger trials is necessary to confirm efficacy, determine optimal stimulation parameters, and evaluate effects on functional swallowing.</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t xml:space="preserve">Copyright © 2025. The Author(s), under exclusive licence to Springer </w:t>
      </w:r>
      <w:proofErr w:type="spellStart"/>
      <w:r w:rsidRPr="004E0963">
        <w:rPr>
          <w:rFonts w:ascii="Roboto" w:eastAsia="Times New Roman" w:hAnsi="Roboto" w:cs="Times New Roman"/>
          <w:color w:val="000000"/>
          <w:sz w:val="21"/>
          <w:szCs w:val="21"/>
          <w:lang w:eastAsia="en-GB"/>
        </w:rPr>
        <w:t>Science+Business</w:t>
      </w:r>
      <w:proofErr w:type="spellEnd"/>
      <w:r w:rsidRPr="004E0963">
        <w:rPr>
          <w:rFonts w:ascii="Roboto" w:eastAsia="Times New Roman" w:hAnsi="Roboto" w:cs="Times New Roman"/>
          <w:color w:val="000000"/>
          <w:sz w:val="21"/>
          <w:szCs w:val="21"/>
          <w:lang w:eastAsia="en-GB"/>
        </w:rPr>
        <w:t xml:space="preserve"> Media, LLC, part of Springer Nature.</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33" w:tgtFrame="_blank" w:history="1">
        <w:r w:rsidRPr="004E0963">
          <w:rPr>
            <w:rFonts w:ascii="Roboto" w:eastAsia="Times New Roman" w:hAnsi="Roboto" w:cs="Times New Roman"/>
            <w:color w:val="0066CC"/>
            <w:sz w:val="21"/>
            <w:szCs w:val="21"/>
            <w:u w:val="single"/>
            <w:lang w:eastAsia="en-GB"/>
          </w:rPr>
          <w:t>https://libkey.io/10.1007/s00455-025-10883-7</w:t>
        </w:r>
      </w:hyperlink>
    </w:p>
    <w:p w14:paraId="7BA7B804" w14:textId="2D974372"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12. </w:t>
      </w:r>
      <w:r w:rsidRPr="004E0963">
        <w:rPr>
          <w:rFonts w:ascii="Roboto" w:eastAsia="Times New Roman" w:hAnsi="Roboto" w:cs="Times New Roman"/>
          <w:b/>
          <w:bCs/>
          <w:color w:val="000000"/>
          <w:sz w:val="21"/>
          <w:szCs w:val="21"/>
          <w:lang w:eastAsia="en-GB"/>
        </w:rPr>
        <w:t>Swallowing Disorders, Survival and Functionality in Adults with Advanced Cancer Outside the Head and Neck and Upper Gastrointestinal Tract in Outpatient Palliative Care Setting: A Prospective Cohort Study.</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xml:space="preserve"> Silva, Danielle Nunes </w:t>
      </w:r>
      <w:proofErr w:type="spellStart"/>
      <w:r w:rsidRPr="004E0963">
        <w:rPr>
          <w:rFonts w:ascii="Roboto" w:eastAsia="Times New Roman" w:hAnsi="Roboto" w:cs="Times New Roman"/>
          <w:color w:val="000000"/>
          <w:sz w:val="21"/>
          <w:szCs w:val="21"/>
          <w:lang w:eastAsia="en-GB"/>
        </w:rPr>
        <w:t>Moura;Jardim</w:t>
      </w:r>
      <w:proofErr w:type="spellEnd"/>
      <w:r w:rsidRPr="004E0963">
        <w:rPr>
          <w:rFonts w:ascii="Roboto" w:eastAsia="Times New Roman" w:hAnsi="Roboto" w:cs="Times New Roman"/>
          <w:color w:val="000000"/>
          <w:sz w:val="21"/>
          <w:szCs w:val="21"/>
          <w:lang w:eastAsia="en-GB"/>
        </w:rPr>
        <w:t xml:space="preserve">, Yohane Cristina </w:t>
      </w:r>
      <w:proofErr w:type="spellStart"/>
      <w:r w:rsidRPr="004E0963">
        <w:rPr>
          <w:rFonts w:ascii="Roboto" w:eastAsia="Times New Roman" w:hAnsi="Roboto" w:cs="Times New Roman"/>
          <w:color w:val="000000"/>
          <w:sz w:val="21"/>
          <w:szCs w:val="21"/>
          <w:lang w:eastAsia="en-GB"/>
        </w:rPr>
        <w:t>Guimaraes;Vicente</w:t>
      </w:r>
      <w:proofErr w:type="spellEnd"/>
      <w:r w:rsidRPr="004E0963">
        <w:rPr>
          <w:rFonts w:ascii="Roboto" w:eastAsia="Times New Roman" w:hAnsi="Roboto" w:cs="Times New Roman"/>
          <w:color w:val="000000"/>
          <w:sz w:val="21"/>
          <w:szCs w:val="21"/>
          <w:lang w:eastAsia="en-GB"/>
        </w:rPr>
        <w:t>, Laelia Cristina Caseiro and de Lima Friche, Amelia Augusta</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Dysphagia</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w:t>
      </w:r>
      <w:r w:rsidRPr="004E0963">
        <w:rPr>
          <w:rFonts w:ascii="Roboto" w:eastAsia="Times New Roman" w:hAnsi="Roboto" w:cs="Times New Roman"/>
          <w:color w:val="000000"/>
          <w:sz w:val="21"/>
          <w:szCs w:val="21"/>
          <w:lang w:eastAsia="en-GB"/>
        </w:rPr>
        <w:t xml:space="preserve">In palliative care, there is still a lack of data regarding the relationship between survival, symptoms, and functionality. To investigate the relationship between functionality </w:t>
      </w:r>
      <w:r w:rsidRPr="004E0963">
        <w:rPr>
          <w:rFonts w:ascii="Roboto" w:eastAsia="Times New Roman" w:hAnsi="Roboto" w:cs="Times New Roman"/>
          <w:color w:val="000000"/>
          <w:sz w:val="21"/>
          <w:szCs w:val="21"/>
          <w:lang w:eastAsia="en-GB"/>
        </w:rPr>
        <w:lastRenderedPageBreak/>
        <w:t xml:space="preserve">and both dysphagia-progression-free survival and overall survival in patients with advanced cancer. A prospective cohort conducted between March 2022 and August 2023. The study was conducted with patients with advanced cancer outside the head and neck and upper gastrointestinal tract, followed by an outpatient palliative care team. Sociodemographic, psychosocial, clinical, functional, and nutritional data were </w:t>
      </w:r>
      <w:proofErr w:type="spellStart"/>
      <w:r w:rsidRPr="004E0963">
        <w:rPr>
          <w:rFonts w:ascii="Roboto" w:eastAsia="Times New Roman" w:hAnsi="Roboto" w:cs="Times New Roman"/>
          <w:color w:val="000000"/>
          <w:sz w:val="21"/>
          <w:szCs w:val="21"/>
          <w:lang w:eastAsia="en-GB"/>
        </w:rPr>
        <w:t>analyzed</w:t>
      </w:r>
      <w:proofErr w:type="spellEnd"/>
      <w:r w:rsidRPr="004E0963">
        <w:rPr>
          <w:rFonts w:ascii="Roboto" w:eastAsia="Times New Roman" w:hAnsi="Roboto" w:cs="Times New Roman"/>
          <w:color w:val="000000"/>
          <w:sz w:val="21"/>
          <w:szCs w:val="21"/>
          <w:lang w:eastAsia="en-GB"/>
        </w:rPr>
        <w:t xml:space="preserve">. A speech therapy evaluation was performed to classify swallowing disorders and the feeding route associated with swallowing ability. Two cohorts were </w:t>
      </w:r>
      <w:proofErr w:type="spellStart"/>
      <w:r w:rsidRPr="004E0963">
        <w:rPr>
          <w:rFonts w:ascii="Roboto" w:eastAsia="Times New Roman" w:hAnsi="Roboto" w:cs="Times New Roman"/>
          <w:color w:val="000000"/>
          <w:sz w:val="21"/>
          <w:szCs w:val="21"/>
          <w:lang w:eastAsia="en-GB"/>
        </w:rPr>
        <w:t>analyzed</w:t>
      </w:r>
      <w:proofErr w:type="spellEnd"/>
      <w:r w:rsidRPr="004E0963">
        <w:rPr>
          <w:rFonts w:ascii="Roboto" w:eastAsia="Times New Roman" w:hAnsi="Roboto" w:cs="Times New Roman"/>
          <w:color w:val="000000"/>
          <w:sz w:val="21"/>
          <w:szCs w:val="21"/>
          <w:lang w:eastAsia="en-GB"/>
        </w:rPr>
        <w:t xml:space="preserve"> according to functionality. 39 individuals were eligible, the majority being female. Lower functionality was a significant risk factor for mortality (p &lt; 0.05), with a 4.31-fold increased risk of death. Minimal swallowing declines were associated with worse survival in patients with poorer functionality in univariable analysis (p = 0.01), but this association was not observed in multivariable analysis. Declining functionality was identified as a significant risk factor for mortality. Swallowing ability revealed a negative impact on survival in univariable analysis, however this association was not confirmed in the multivariable model. Likewise, dysphagia-progression-free survival was shorter among patients with poorer functionality, although this was not statistically significant in multivariable analysis. These findings underscore the need for further investigation.</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t xml:space="preserve">Copyright © 2025. The Author(s), under exclusive licence to Springer </w:t>
      </w:r>
      <w:proofErr w:type="spellStart"/>
      <w:r w:rsidRPr="004E0963">
        <w:rPr>
          <w:rFonts w:ascii="Roboto" w:eastAsia="Times New Roman" w:hAnsi="Roboto" w:cs="Times New Roman"/>
          <w:color w:val="000000"/>
          <w:sz w:val="21"/>
          <w:szCs w:val="21"/>
          <w:lang w:eastAsia="en-GB"/>
        </w:rPr>
        <w:t>Science+Business</w:t>
      </w:r>
      <w:proofErr w:type="spellEnd"/>
      <w:r w:rsidRPr="004E0963">
        <w:rPr>
          <w:rFonts w:ascii="Roboto" w:eastAsia="Times New Roman" w:hAnsi="Roboto" w:cs="Times New Roman"/>
          <w:color w:val="000000"/>
          <w:sz w:val="21"/>
          <w:szCs w:val="21"/>
          <w:lang w:eastAsia="en-GB"/>
        </w:rPr>
        <w:t xml:space="preserve"> Media, LLC, part of Springer Nature.</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34" w:tgtFrame="_blank" w:history="1">
        <w:r w:rsidRPr="004E0963">
          <w:rPr>
            <w:rFonts w:ascii="Roboto" w:eastAsia="Times New Roman" w:hAnsi="Roboto" w:cs="Times New Roman"/>
            <w:color w:val="0066CC"/>
            <w:sz w:val="21"/>
            <w:szCs w:val="21"/>
            <w:u w:val="single"/>
            <w:lang w:eastAsia="en-GB"/>
          </w:rPr>
          <w:t>https://libkey.io/10.1007/s00455-025-10876-6</w:t>
        </w:r>
      </w:hyperlink>
    </w:p>
    <w:p w14:paraId="6C4B6105" w14:textId="2F215A70"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13. </w:t>
      </w:r>
      <w:r w:rsidRPr="004E0963">
        <w:rPr>
          <w:rFonts w:ascii="Roboto" w:eastAsia="Times New Roman" w:hAnsi="Roboto" w:cs="Times New Roman"/>
          <w:b/>
          <w:bCs/>
          <w:color w:val="000000"/>
          <w:sz w:val="21"/>
          <w:szCs w:val="21"/>
          <w:lang w:eastAsia="en-GB"/>
        </w:rPr>
        <w:t>Metabolomic biomarkers associated with trismus and dysphagia, radiation therapy, tumour stage and location in patients with head and neck cancer.</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w:t>
      </w:r>
      <w:proofErr w:type="spellStart"/>
      <w:r w:rsidRPr="004E0963">
        <w:rPr>
          <w:rFonts w:ascii="Roboto" w:eastAsia="Times New Roman" w:hAnsi="Roboto" w:cs="Times New Roman"/>
          <w:color w:val="000000"/>
          <w:sz w:val="21"/>
          <w:szCs w:val="21"/>
          <w:lang w:eastAsia="en-GB"/>
        </w:rPr>
        <w:t>Torinsson</w:t>
      </w:r>
      <w:proofErr w:type="spellEnd"/>
      <w:r w:rsidRPr="004E0963">
        <w:rPr>
          <w:rFonts w:ascii="Roboto" w:eastAsia="Times New Roman" w:hAnsi="Roboto" w:cs="Times New Roman"/>
          <w:color w:val="000000"/>
          <w:sz w:val="21"/>
          <w:szCs w:val="21"/>
          <w:lang w:eastAsia="en-GB"/>
        </w:rPr>
        <w:t xml:space="preserve"> Naluai, </w:t>
      </w:r>
      <w:proofErr w:type="spellStart"/>
      <w:r w:rsidRPr="004E0963">
        <w:rPr>
          <w:rFonts w:ascii="Roboto" w:eastAsia="Times New Roman" w:hAnsi="Roboto" w:cs="Times New Roman"/>
          <w:color w:val="000000"/>
          <w:sz w:val="21"/>
          <w:szCs w:val="21"/>
          <w:lang w:eastAsia="en-GB"/>
        </w:rPr>
        <w:t>Asa;Tuomi</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Lisa;Karlsson</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Therese;Finizia</w:t>
      </w:r>
      <w:proofErr w:type="spellEnd"/>
      <w:r w:rsidRPr="004E0963">
        <w:rPr>
          <w:rFonts w:ascii="Roboto" w:eastAsia="Times New Roman" w:hAnsi="Roboto" w:cs="Times New Roman"/>
          <w:color w:val="000000"/>
          <w:sz w:val="21"/>
          <w:szCs w:val="21"/>
          <w:lang w:eastAsia="en-GB"/>
        </w:rPr>
        <w:t xml:space="preserve">, Caterina and </w:t>
      </w:r>
      <w:proofErr w:type="spellStart"/>
      <w:r w:rsidRPr="004E0963">
        <w:rPr>
          <w:rFonts w:ascii="Roboto" w:eastAsia="Times New Roman" w:hAnsi="Roboto" w:cs="Times New Roman"/>
          <w:color w:val="000000"/>
          <w:sz w:val="21"/>
          <w:szCs w:val="21"/>
          <w:lang w:eastAsia="en-GB"/>
        </w:rPr>
        <w:t>Skiljic</w:t>
      </w:r>
      <w:proofErr w:type="spellEnd"/>
      <w:r w:rsidRPr="004E0963">
        <w:rPr>
          <w:rFonts w:ascii="Roboto" w:eastAsia="Times New Roman" w:hAnsi="Roboto" w:cs="Times New Roman"/>
          <w:color w:val="000000"/>
          <w:sz w:val="21"/>
          <w:szCs w:val="21"/>
          <w:lang w:eastAsia="en-GB"/>
        </w:rPr>
        <w:t>, Dragana</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Sep 26 ,2025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Acta Oto-</w:t>
      </w:r>
      <w:proofErr w:type="spellStart"/>
      <w:r w:rsidRPr="004E0963">
        <w:rPr>
          <w:rFonts w:ascii="Roboto" w:eastAsia="Times New Roman" w:hAnsi="Roboto" w:cs="Times New Roman"/>
          <w:color w:val="000000"/>
          <w:sz w:val="21"/>
          <w:szCs w:val="21"/>
          <w:lang w:eastAsia="en-GB"/>
        </w:rPr>
        <w:t>Laryngologica</w:t>
      </w:r>
      <w:proofErr w:type="spellEnd"/>
      <w:r w:rsidRPr="004E0963">
        <w:rPr>
          <w:rFonts w:ascii="Roboto" w:eastAsia="Times New Roman" w:hAnsi="Roboto" w:cs="Times New Roman"/>
          <w:color w:val="000000"/>
          <w:sz w:val="21"/>
          <w:szCs w:val="21"/>
          <w:lang w:eastAsia="en-GB"/>
        </w:rPr>
        <w:t xml:space="preserve"> 1-14</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BACKGROUND</w:t>
      </w:r>
      <w:r w:rsidRPr="004E0963">
        <w:rPr>
          <w:rFonts w:ascii="Roboto" w:eastAsia="Times New Roman" w:hAnsi="Roboto" w:cs="Times New Roman"/>
          <w:color w:val="000000"/>
          <w:sz w:val="21"/>
          <w:szCs w:val="21"/>
          <w:lang w:eastAsia="en-GB"/>
        </w:rPr>
        <w:t>: Trismus, difficulty opening the jaw, and dysphagia, difficulty swallowing, are complications in head and neck cancer (HNC). Metabolic imbalances, including alterations in amino acids, lipids, and inflammatory markers, potentially influence these conditions. </w:t>
      </w:r>
      <w:r w:rsidRPr="004E0963">
        <w:rPr>
          <w:rFonts w:ascii="Roboto" w:eastAsia="Times New Roman" w:hAnsi="Roboto" w:cs="Times New Roman"/>
          <w:b/>
          <w:bCs/>
          <w:color w:val="000000"/>
          <w:sz w:val="21"/>
          <w:szCs w:val="21"/>
          <w:lang w:eastAsia="en-GB"/>
        </w:rPr>
        <w:t>AIM/OBJECTIVE</w:t>
      </w:r>
      <w:r w:rsidRPr="004E0963">
        <w:rPr>
          <w:rFonts w:ascii="Roboto" w:eastAsia="Times New Roman" w:hAnsi="Roboto" w:cs="Times New Roman"/>
          <w:color w:val="000000"/>
          <w:sz w:val="21"/>
          <w:szCs w:val="21"/>
          <w:lang w:eastAsia="en-GB"/>
        </w:rPr>
        <w:t>: The aim of this study was to investigate associations of metabolic and inflammatory metabolites in HNC patients, focusing on trismus and dysphagia. </w:t>
      </w:r>
      <w:r w:rsidRPr="004E0963">
        <w:rPr>
          <w:rFonts w:ascii="Roboto" w:eastAsia="Times New Roman" w:hAnsi="Roboto" w:cs="Times New Roman"/>
          <w:b/>
          <w:bCs/>
          <w:color w:val="000000"/>
          <w:sz w:val="21"/>
          <w:szCs w:val="21"/>
          <w:lang w:eastAsia="en-GB"/>
        </w:rPr>
        <w:t>MATERIAL AND METHODS</w:t>
      </w:r>
      <w:r w:rsidRPr="004E0963">
        <w:rPr>
          <w:rFonts w:ascii="Roboto" w:eastAsia="Times New Roman" w:hAnsi="Roboto" w:cs="Times New Roman"/>
          <w:color w:val="000000"/>
          <w:sz w:val="21"/>
          <w:szCs w:val="21"/>
          <w:lang w:eastAsia="en-GB"/>
        </w:rPr>
        <w:t xml:space="preserve">: Nuclear Magnetic Resonance (NMR) spectroscopy, and Bruker </w:t>
      </w:r>
      <w:proofErr w:type="spellStart"/>
      <w:r w:rsidRPr="004E0963">
        <w:rPr>
          <w:rFonts w:ascii="Roboto" w:eastAsia="Times New Roman" w:hAnsi="Roboto" w:cs="Times New Roman"/>
          <w:color w:val="000000"/>
          <w:sz w:val="21"/>
          <w:szCs w:val="21"/>
          <w:lang w:eastAsia="en-GB"/>
        </w:rPr>
        <w:t>IVDr</w:t>
      </w:r>
      <w:proofErr w:type="spellEnd"/>
      <w:r w:rsidRPr="004E0963">
        <w:rPr>
          <w:rFonts w:ascii="Roboto" w:eastAsia="Times New Roman" w:hAnsi="Roboto" w:cs="Times New Roman"/>
          <w:color w:val="000000"/>
          <w:sz w:val="21"/>
          <w:szCs w:val="21"/>
          <w:lang w:eastAsia="en-GB"/>
        </w:rPr>
        <w:t xml:space="preserve"> Lipoprotein Subclass analysis was used to analyse metabolites in plasma from 302 patients before, during and after treatment for HNC. </w:t>
      </w:r>
      <w:r w:rsidRPr="004E0963">
        <w:rPr>
          <w:rFonts w:ascii="Roboto" w:eastAsia="Times New Roman" w:hAnsi="Roboto" w:cs="Times New Roman"/>
          <w:b/>
          <w:bCs/>
          <w:color w:val="000000"/>
          <w:sz w:val="21"/>
          <w:szCs w:val="21"/>
          <w:lang w:eastAsia="en-GB"/>
        </w:rPr>
        <w:t>RESULTS</w:t>
      </w:r>
      <w:r w:rsidRPr="004E0963">
        <w:rPr>
          <w:rFonts w:ascii="Roboto" w:eastAsia="Times New Roman" w:hAnsi="Roboto" w:cs="Times New Roman"/>
          <w:color w:val="000000"/>
          <w:sz w:val="21"/>
          <w:szCs w:val="21"/>
          <w:lang w:eastAsia="en-GB"/>
        </w:rPr>
        <w:t xml:space="preserve">: Sixteen lipoprotein subclasses (LDL 1-6, HDL 1-4 VLDL 1-6) as well as creatinine, creatine, glutamine, alanine, glycine, </w:t>
      </w:r>
      <w:proofErr w:type="spellStart"/>
      <w:r w:rsidRPr="004E0963">
        <w:rPr>
          <w:rFonts w:ascii="Roboto" w:eastAsia="Times New Roman" w:hAnsi="Roboto" w:cs="Times New Roman"/>
          <w:color w:val="000000"/>
          <w:sz w:val="21"/>
          <w:szCs w:val="21"/>
          <w:lang w:eastAsia="en-GB"/>
        </w:rPr>
        <w:t>GlycA</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GlycB</w:t>
      </w:r>
      <w:proofErr w:type="spellEnd"/>
      <w:r w:rsidRPr="004E0963">
        <w:rPr>
          <w:rFonts w:ascii="Roboto" w:eastAsia="Times New Roman" w:hAnsi="Roboto" w:cs="Times New Roman"/>
          <w:color w:val="000000"/>
          <w:sz w:val="21"/>
          <w:szCs w:val="21"/>
          <w:lang w:eastAsia="en-GB"/>
        </w:rPr>
        <w:t>, and a combined lipoprotein-derived NMR signal named Supramolecular Phospholipid Composite (SPC), were analysed. An increase in several lipoprotein sub fractions and elevated inflammatory biomarkers (</w:t>
      </w:r>
      <w:proofErr w:type="spellStart"/>
      <w:r w:rsidRPr="004E0963">
        <w:rPr>
          <w:rFonts w:ascii="Roboto" w:eastAsia="Times New Roman" w:hAnsi="Roboto" w:cs="Times New Roman"/>
          <w:color w:val="000000"/>
          <w:sz w:val="21"/>
          <w:szCs w:val="21"/>
          <w:lang w:eastAsia="en-GB"/>
        </w:rPr>
        <w:t>GlycA</w:t>
      </w:r>
      <w:proofErr w:type="spellEnd"/>
      <w:r w:rsidRPr="004E0963">
        <w:rPr>
          <w:rFonts w:ascii="Roboto" w:eastAsia="Times New Roman" w:hAnsi="Roboto" w:cs="Times New Roman"/>
          <w:color w:val="000000"/>
          <w:sz w:val="21"/>
          <w:szCs w:val="21"/>
          <w:lang w:eastAsia="en-GB"/>
        </w:rPr>
        <w:t xml:space="preserve"> and </w:t>
      </w:r>
      <w:proofErr w:type="spellStart"/>
      <w:r w:rsidRPr="004E0963">
        <w:rPr>
          <w:rFonts w:ascii="Roboto" w:eastAsia="Times New Roman" w:hAnsi="Roboto" w:cs="Times New Roman"/>
          <w:color w:val="000000"/>
          <w:sz w:val="21"/>
          <w:szCs w:val="21"/>
          <w:lang w:eastAsia="en-GB"/>
        </w:rPr>
        <w:t>GlycB</w:t>
      </w:r>
      <w:proofErr w:type="spellEnd"/>
      <w:r w:rsidRPr="004E0963">
        <w:rPr>
          <w:rFonts w:ascii="Roboto" w:eastAsia="Times New Roman" w:hAnsi="Roboto" w:cs="Times New Roman"/>
          <w:color w:val="000000"/>
          <w:sz w:val="21"/>
          <w:szCs w:val="21"/>
          <w:lang w:eastAsia="en-GB"/>
        </w:rPr>
        <w:t xml:space="preserve">) were associated with Maximal Interincisal Opening (MIO) before treatment. The M.D. Anderson Dysphagia Inventory (MDADI) before treatment was associated with elevated </w:t>
      </w:r>
      <w:proofErr w:type="spellStart"/>
      <w:r w:rsidRPr="004E0963">
        <w:rPr>
          <w:rFonts w:ascii="Roboto" w:eastAsia="Times New Roman" w:hAnsi="Roboto" w:cs="Times New Roman"/>
          <w:color w:val="000000"/>
          <w:sz w:val="21"/>
          <w:szCs w:val="21"/>
          <w:lang w:eastAsia="en-GB"/>
        </w:rPr>
        <w:t>GlycA</w:t>
      </w:r>
      <w:proofErr w:type="spellEnd"/>
      <w:r w:rsidRPr="004E0963">
        <w:rPr>
          <w:rFonts w:ascii="Roboto" w:eastAsia="Times New Roman" w:hAnsi="Roboto" w:cs="Times New Roman"/>
          <w:color w:val="000000"/>
          <w:sz w:val="21"/>
          <w:szCs w:val="21"/>
          <w:lang w:eastAsia="en-GB"/>
        </w:rPr>
        <w:t xml:space="preserve"> and </w:t>
      </w:r>
      <w:proofErr w:type="spellStart"/>
      <w:r w:rsidRPr="004E0963">
        <w:rPr>
          <w:rFonts w:ascii="Roboto" w:eastAsia="Times New Roman" w:hAnsi="Roboto" w:cs="Times New Roman"/>
          <w:color w:val="000000"/>
          <w:sz w:val="21"/>
          <w:szCs w:val="21"/>
          <w:lang w:eastAsia="en-GB"/>
        </w:rPr>
        <w:t>GlycB</w:t>
      </w:r>
      <w:proofErr w:type="spellEnd"/>
      <w:r w:rsidRPr="004E0963">
        <w:rPr>
          <w:rFonts w:ascii="Roboto" w:eastAsia="Times New Roman" w:hAnsi="Roboto" w:cs="Times New Roman"/>
          <w:color w:val="000000"/>
          <w:sz w:val="21"/>
          <w:szCs w:val="21"/>
          <w:lang w:eastAsia="en-GB"/>
        </w:rPr>
        <w:t>. The results also showed significant correlations between metabolites and BMI, sex, age, radiation therapy as well as tumour stage and location. </w:t>
      </w:r>
      <w:r w:rsidRPr="004E0963">
        <w:rPr>
          <w:rFonts w:ascii="Roboto" w:eastAsia="Times New Roman" w:hAnsi="Roboto" w:cs="Times New Roman"/>
          <w:b/>
          <w:bCs/>
          <w:color w:val="000000"/>
          <w:sz w:val="21"/>
          <w:szCs w:val="21"/>
          <w:lang w:eastAsia="en-GB"/>
        </w:rPr>
        <w:t>CONCLUSION AND SIGNIFICANCE</w:t>
      </w:r>
      <w:r w:rsidRPr="004E0963">
        <w:rPr>
          <w:rFonts w:ascii="Roboto" w:eastAsia="Times New Roman" w:hAnsi="Roboto" w:cs="Times New Roman"/>
          <w:color w:val="000000"/>
          <w:sz w:val="21"/>
          <w:szCs w:val="21"/>
          <w:lang w:eastAsia="en-GB"/>
        </w:rPr>
        <w:t>: Metabolic and inflammatory markers highlight the metabolic heterogeneity in HNC and provide potential targets for future therapeutic strategies.</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35" w:tgtFrame="_blank" w:history="1">
        <w:r w:rsidRPr="004E0963">
          <w:rPr>
            <w:rFonts w:ascii="Roboto" w:eastAsia="Times New Roman" w:hAnsi="Roboto" w:cs="Times New Roman"/>
            <w:color w:val="0066CC"/>
            <w:sz w:val="21"/>
            <w:szCs w:val="21"/>
            <w:u w:val="single"/>
            <w:lang w:eastAsia="en-GB"/>
          </w:rPr>
          <w:t>https://libkey.io/10.1080/00016489.2025.2561911</w:t>
        </w:r>
      </w:hyperlink>
    </w:p>
    <w:p w14:paraId="7C65C3E5" w14:textId="22D5E87E" w:rsidR="004E0963" w:rsidRPr="004E0963" w:rsidRDefault="004E0963" w:rsidP="004E0963">
      <w:r w:rsidRPr="004E0963">
        <w:rPr>
          <w:rFonts w:ascii="Roboto" w:eastAsia="Times New Roman" w:hAnsi="Roboto" w:cs="Times New Roman"/>
          <w:color w:val="000000"/>
          <w:sz w:val="21"/>
          <w:szCs w:val="21"/>
          <w:lang w:eastAsia="en-GB"/>
        </w:rPr>
        <w:lastRenderedPageBreak/>
        <w:br/>
      </w:r>
      <w:r w:rsidRPr="004E0963">
        <w:rPr>
          <w:rFonts w:ascii="Roboto" w:eastAsia="Times New Roman" w:hAnsi="Roboto" w:cs="Times New Roman"/>
          <w:i/>
          <w:iCs/>
          <w:color w:val="000000"/>
          <w:sz w:val="21"/>
          <w:szCs w:val="21"/>
          <w:shd w:val="clear" w:color="auto" w:fill="FFFFFF"/>
          <w:lang w:eastAsia="en-GB"/>
        </w:rPr>
        <w:t>You will need your </w:t>
      </w:r>
      <w:hyperlink r:id="rId36" w:history="1">
        <w:r w:rsidRPr="004E0963">
          <w:rPr>
            <w:rFonts w:ascii="Roboto" w:eastAsia="Times New Roman" w:hAnsi="Roboto" w:cs="Times New Roman"/>
            <w:i/>
            <w:iCs/>
            <w:color w:val="0066CC"/>
            <w:sz w:val="21"/>
            <w:szCs w:val="21"/>
            <w:u w:val="single"/>
            <w:lang w:eastAsia="en-GB"/>
          </w:rPr>
          <w:t xml:space="preserve">NHS </w:t>
        </w:r>
        <w:proofErr w:type="spellStart"/>
        <w:r w:rsidRPr="004E0963">
          <w:rPr>
            <w:rFonts w:ascii="Roboto" w:eastAsia="Times New Roman" w:hAnsi="Roboto" w:cs="Times New Roman"/>
            <w:i/>
            <w:iCs/>
            <w:color w:val="0066CC"/>
            <w:sz w:val="21"/>
            <w:szCs w:val="21"/>
            <w:u w:val="single"/>
            <w:lang w:eastAsia="en-GB"/>
          </w:rPr>
          <w:t>OpenAthens</w:t>
        </w:r>
        <w:proofErr w:type="spellEnd"/>
        <w:r w:rsidRPr="004E0963">
          <w:rPr>
            <w:rFonts w:ascii="Roboto" w:eastAsia="Times New Roman" w:hAnsi="Roboto" w:cs="Times New Roman"/>
            <w:i/>
            <w:iCs/>
            <w:color w:val="0066CC"/>
            <w:sz w:val="21"/>
            <w:szCs w:val="21"/>
            <w:u w:val="single"/>
            <w:lang w:eastAsia="en-GB"/>
          </w:rPr>
          <w:t xml:space="preserve"> account</w:t>
        </w:r>
      </w:hyperlink>
      <w:r w:rsidRPr="004E0963">
        <w:rPr>
          <w:rFonts w:ascii="Roboto" w:eastAsia="Times New Roman" w:hAnsi="Roboto" w:cs="Times New Roman"/>
          <w:i/>
          <w:iCs/>
          <w:color w:val="000000"/>
          <w:sz w:val="21"/>
          <w:szCs w:val="21"/>
          <w:shd w:val="clear" w:color="auto" w:fill="FFFFFF"/>
          <w:lang w:eastAsia="en-GB"/>
        </w:rPr>
        <w:t> to access the full text of licenced content.</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i/>
          <w:iCs/>
          <w:color w:val="000000"/>
          <w:sz w:val="21"/>
          <w:szCs w:val="21"/>
          <w:shd w:val="clear" w:color="auto" w:fill="FFFFFF"/>
          <w:lang w:eastAsia="en-GB"/>
        </w:rPr>
        <w:t>This service is provided to the NHS in England by NHSE Workforce, Training &amp; Education.</w:t>
      </w:r>
    </w:p>
    <w:p w14:paraId="0B4A9345" w14:textId="77777777" w:rsidR="00DD6D1E" w:rsidRDefault="00DD6D1E" w:rsidP="00DD6D1E">
      <w:pPr>
        <w:pStyle w:val="Default"/>
        <w:rPr>
          <w:b/>
          <w:bCs/>
          <w:sz w:val="20"/>
          <w:szCs w:val="22"/>
        </w:rPr>
      </w:pPr>
    </w:p>
    <w:p w14:paraId="470063AE" w14:textId="77777777" w:rsidR="00DD6D1E" w:rsidRDefault="00E530FB" w:rsidP="003E7AE2">
      <w:pPr>
        <w:pStyle w:val="Heading1"/>
      </w:pPr>
      <w:bookmarkStart w:id="3" w:name="_Toc210896922"/>
      <w:proofErr w:type="spellStart"/>
      <w:r>
        <w:t>Videofluoroscopy</w:t>
      </w:r>
      <w:bookmarkEnd w:id="3"/>
      <w:proofErr w:type="spellEnd"/>
    </w:p>
    <w:p w14:paraId="223DFED6" w14:textId="6D494678"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1. </w:t>
      </w:r>
      <w:r w:rsidRPr="004E0963">
        <w:rPr>
          <w:rFonts w:ascii="Roboto" w:eastAsia="Times New Roman" w:hAnsi="Roboto" w:cs="Times New Roman"/>
          <w:b/>
          <w:bCs/>
          <w:color w:val="000000"/>
          <w:sz w:val="21"/>
          <w:szCs w:val="21"/>
          <w:lang w:eastAsia="en-GB"/>
        </w:rPr>
        <w:t xml:space="preserve">Where Do Clinicians Look When Viewing </w:t>
      </w:r>
      <w:proofErr w:type="spellStart"/>
      <w:r w:rsidRPr="004E0963">
        <w:rPr>
          <w:rFonts w:ascii="Roboto" w:eastAsia="Times New Roman" w:hAnsi="Roboto" w:cs="Times New Roman"/>
          <w:b/>
          <w:bCs/>
          <w:color w:val="000000"/>
          <w:sz w:val="21"/>
          <w:szCs w:val="21"/>
          <w:lang w:eastAsia="en-GB"/>
        </w:rPr>
        <w:t>Videofluoroscopic</w:t>
      </w:r>
      <w:proofErr w:type="spellEnd"/>
      <w:r w:rsidRPr="004E0963">
        <w:rPr>
          <w:rFonts w:ascii="Roboto" w:eastAsia="Times New Roman" w:hAnsi="Roboto" w:cs="Times New Roman"/>
          <w:b/>
          <w:bCs/>
          <w:color w:val="000000"/>
          <w:sz w:val="21"/>
          <w:szCs w:val="21"/>
          <w:lang w:eastAsia="en-GB"/>
        </w:rPr>
        <w:t xml:space="preserve"> Swallow Studies? A Pilot Eye-Tracking Study.</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Ensar, Busra and Searl, Jeff</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Sep 24 ,2025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American Journal of Speech-Language Pathology 1-13</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PURPOSE</w:t>
      </w:r>
      <w:r w:rsidRPr="004E0963">
        <w:rPr>
          <w:rFonts w:ascii="Roboto" w:eastAsia="Times New Roman" w:hAnsi="Roboto" w:cs="Times New Roman"/>
          <w:color w:val="000000"/>
          <w:sz w:val="21"/>
          <w:szCs w:val="21"/>
          <w:lang w:eastAsia="en-GB"/>
        </w:rPr>
        <w:t xml:space="preserve">: This study aimed to explore how speech-language pathologists (SLPs) visually assess </w:t>
      </w:r>
      <w:proofErr w:type="spellStart"/>
      <w:r w:rsidRPr="004E0963">
        <w:rPr>
          <w:rFonts w:ascii="Roboto" w:eastAsia="Times New Roman" w:hAnsi="Roboto" w:cs="Times New Roman"/>
          <w:color w:val="000000"/>
          <w:sz w:val="21"/>
          <w:szCs w:val="21"/>
          <w:lang w:eastAsia="en-GB"/>
        </w:rPr>
        <w:t>videofluoroscopic</w:t>
      </w:r>
      <w:proofErr w:type="spellEnd"/>
      <w:r w:rsidRPr="004E0963">
        <w:rPr>
          <w:rFonts w:ascii="Roboto" w:eastAsia="Times New Roman" w:hAnsi="Roboto" w:cs="Times New Roman"/>
          <w:color w:val="000000"/>
          <w:sz w:val="21"/>
          <w:szCs w:val="21"/>
          <w:lang w:eastAsia="en-GB"/>
        </w:rPr>
        <w:t xml:space="preserve"> swallow studies (VFSS) as reflected in eye-tracking data and to discuss challenges and barriers when using eye-tracking methodology to better understand VFSS review. </w:t>
      </w:r>
      <w:r w:rsidRPr="004E0963">
        <w:rPr>
          <w:rFonts w:ascii="Roboto" w:eastAsia="Times New Roman" w:hAnsi="Roboto" w:cs="Times New Roman"/>
          <w:b/>
          <w:bCs/>
          <w:color w:val="000000"/>
          <w:sz w:val="21"/>
          <w:szCs w:val="21"/>
          <w:lang w:eastAsia="en-GB"/>
        </w:rPr>
        <w:t>METHOD</w:t>
      </w:r>
      <w:r w:rsidRPr="004E0963">
        <w:rPr>
          <w:rFonts w:ascii="Roboto" w:eastAsia="Times New Roman" w:hAnsi="Roboto" w:cs="Times New Roman"/>
          <w:color w:val="000000"/>
          <w:sz w:val="21"/>
          <w:szCs w:val="21"/>
          <w:lang w:eastAsia="en-GB"/>
        </w:rPr>
        <w:t xml:space="preserve">: Thirteen SLPs reviewed two swallows of a 5-ml thin liquid swallow while their eye movements were recorded. Fixation counts were </w:t>
      </w:r>
      <w:proofErr w:type="spellStart"/>
      <w:r w:rsidRPr="004E0963">
        <w:rPr>
          <w:rFonts w:ascii="Roboto" w:eastAsia="Times New Roman" w:hAnsi="Roboto" w:cs="Times New Roman"/>
          <w:color w:val="000000"/>
          <w:sz w:val="21"/>
          <w:szCs w:val="21"/>
          <w:lang w:eastAsia="en-GB"/>
        </w:rPr>
        <w:t>analyzed</w:t>
      </w:r>
      <w:proofErr w:type="spellEnd"/>
      <w:r w:rsidRPr="004E0963">
        <w:rPr>
          <w:rFonts w:ascii="Roboto" w:eastAsia="Times New Roman" w:hAnsi="Roboto" w:cs="Times New Roman"/>
          <w:color w:val="000000"/>
          <w:sz w:val="21"/>
          <w:szCs w:val="21"/>
          <w:lang w:eastAsia="en-GB"/>
        </w:rPr>
        <w:t xml:space="preserve"> across anatomically relevant areas of interest (AOIs). Data were </w:t>
      </w:r>
      <w:proofErr w:type="spellStart"/>
      <w:r w:rsidRPr="004E0963">
        <w:rPr>
          <w:rFonts w:ascii="Roboto" w:eastAsia="Times New Roman" w:hAnsi="Roboto" w:cs="Times New Roman"/>
          <w:color w:val="000000"/>
          <w:sz w:val="21"/>
          <w:szCs w:val="21"/>
          <w:lang w:eastAsia="en-GB"/>
        </w:rPr>
        <w:t>analyzed</w:t>
      </w:r>
      <w:proofErr w:type="spellEnd"/>
      <w:r w:rsidRPr="004E0963">
        <w:rPr>
          <w:rFonts w:ascii="Roboto" w:eastAsia="Times New Roman" w:hAnsi="Roboto" w:cs="Times New Roman"/>
          <w:color w:val="000000"/>
          <w:sz w:val="21"/>
          <w:szCs w:val="21"/>
          <w:lang w:eastAsia="en-GB"/>
        </w:rPr>
        <w:t xml:space="preserve"> descriptively, and statistical comparisons were made between the two swallows using the Wilcoxon signed-ranks test. </w:t>
      </w:r>
      <w:r w:rsidRPr="004E0963">
        <w:rPr>
          <w:rFonts w:ascii="Roboto" w:eastAsia="Times New Roman" w:hAnsi="Roboto" w:cs="Times New Roman"/>
          <w:b/>
          <w:bCs/>
          <w:color w:val="000000"/>
          <w:sz w:val="21"/>
          <w:szCs w:val="21"/>
          <w:lang w:eastAsia="en-GB"/>
        </w:rPr>
        <w:t>RESULTS</w:t>
      </w:r>
      <w:r w:rsidRPr="004E0963">
        <w:rPr>
          <w:rFonts w:ascii="Roboto" w:eastAsia="Times New Roman" w:hAnsi="Roboto" w:cs="Times New Roman"/>
          <w:color w:val="000000"/>
          <w:sz w:val="21"/>
          <w:szCs w:val="21"/>
          <w:lang w:eastAsia="en-GB"/>
        </w:rPr>
        <w:t xml:space="preserve">: Key findings included an overall decline in fixation count rate in the second swallow, significant variability in eye-gaze </w:t>
      </w:r>
      <w:proofErr w:type="spellStart"/>
      <w:r w:rsidRPr="004E0963">
        <w:rPr>
          <w:rFonts w:ascii="Roboto" w:eastAsia="Times New Roman" w:hAnsi="Roboto" w:cs="Times New Roman"/>
          <w:color w:val="000000"/>
          <w:sz w:val="21"/>
          <w:szCs w:val="21"/>
          <w:lang w:eastAsia="en-GB"/>
        </w:rPr>
        <w:t>behavior</w:t>
      </w:r>
      <w:proofErr w:type="spellEnd"/>
      <w:r w:rsidRPr="004E0963">
        <w:rPr>
          <w:rFonts w:ascii="Roboto" w:eastAsia="Times New Roman" w:hAnsi="Roboto" w:cs="Times New Roman"/>
          <w:color w:val="000000"/>
          <w:sz w:val="21"/>
          <w:szCs w:val="21"/>
          <w:lang w:eastAsia="en-GB"/>
        </w:rPr>
        <w:t xml:space="preserve"> across participants, and AOI-specific changes. The bolus received the highest fixation count rate in both swallows, and visual attention shifted from anterior-superior structures in the first swallow to more posterior-inferior structures in the second swallow. Methodological challenges included but were not limited to drawing the constantly changing AOI boundary and the lack of guidelines for missing gaze data. </w:t>
      </w:r>
      <w:r w:rsidRPr="004E0963">
        <w:rPr>
          <w:rFonts w:ascii="Roboto" w:eastAsia="Times New Roman" w:hAnsi="Roboto" w:cs="Times New Roman"/>
          <w:b/>
          <w:bCs/>
          <w:color w:val="000000"/>
          <w:sz w:val="21"/>
          <w:szCs w:val="21"/>
          <w:lang w:eastAsia="en-GB"/>
        </w:rPr>
        <w:t>CONCLUSIONS</w:t>
      </w:r>
      <w:r w:rsidRPr="004E0963">
        <w:rPr>
          <w:rFonts w:ascii="Roboto" w:eastAsia="Times New Roman" w:hAnsi="Roboto" w:cs="Times New Roman"/>
          <w:color w:val="000000"/>
          <w:sz w:val="21"/>
          <w:szCs w:val="21"/>
          <w:lang w:eastAsia="en-GB"/>
        </w:rPr>
        <w:t xml:space="preserve">: Eye tracking offers exploratory insights into SLPs' visual attention during VFSS review, revealing variable gaze patterns and methodological challenges. Future research should further explore the link between gaze </w:t>
      </w:r>
      <w:proofErr w:type="spellStart"/>
      <w:r w:rsidRPr="004E0963">
        <w:rPr>
          <w:rFonts w:ascii="Roboto" w:eastAsia="Times New Roman" w:hAnsi="Roboto" w:cs="Times New Roman"/>
          <w:color w:val="000000"/>
          <w:sz w:val="21"/>
          <w:szCs w:val="21"/>
          <w:lang w:eastAsia="en-GB"/>
        </w:rPr>
        <w:t>behavior</w:t>
      </w:r>
      <w:proofErr w:type="spellEnd"/>
      <w:r w:rsidRPr="004E0963">
        <w:rPr>
          <w:rFonts w:ascii="Roboto" w:eastAsia="Times New Roman" w:hAnsi="Roboto" w:cs="Times New Roman"/>
          <w:color w:val="000000"/>
          <w:sz w:val="21"/>
          <w:szCs w:val="21"/>
          <w:lang w:eastAsia="en-GB"/>
        </w:rPr>
        <w:t xml:space="preserve"> and VFSS interpretation, possibly revealing patterns that may influence clinical decision making about a patient's swallowing physiology and shape clinical training accordingly. </w:t>
      </w:r>
      <w:r w:rsidRPr="004E0963">
        <w:rPr>
          <w:rFonts w:ascii="Roboto" w:eastAsia="Times New Roman" w:hAnsi="Roboto" w:cs="Times New Roman"/>
          <w:b/>
          <w:bCs/>
          <w:color w:val="000000"/>
          <w:sz w:val="21"/>
          <w:szCs w:val="21"/>
          <w:lang w:eastAsia="en-GB"/>
        </w:rPr>
        <w:t>SUPPLEMENTAL MATERIAL</w:t>
      </w:r>
      <w:r w:rsidRPr="004E0963">
        <w:rPr>
          <w:rFonts w:ascii="Roboto" w:eastAsia="Times New Roman" w:hAnsi="Roboto" w:cs="Times New Roman"/>
          <w:color w:val="000000"/>
          <w:sz w:val="21"/>
          <w:szCs w:val="21"/>
          <w:lang w:eastAsia="en-GB"/>
        </w:rPr>
        <w:t>: </w:t>
      </w:r>
      <w:hyperlink r:id="rId37" w:tgtFrame="_blank" w:history="1">
        <w:r w:rsidRPr="004E0963">
          <w:rPr>
            <w:rFonts w:ascii="Roboto" w:eastAsia="Times New Roman" w:hAnsi="Roboto" w:cs="Times New Roman"/>
            <w:color w:val="0066CC"/>
            <w:sz w:val="21"/>
            <w:szCs w:val="21"/>
            <w:u w:val="single"/>
            <w:lang w:eastAsia="en-GB"/>
          </w:rPr>
          <w:t>https://doi.org/10.23641/asha.30104632.</w:t>
        </w:r>
      </w:hyperlink>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38" w:tgtFrame="_blank" w:history="1">
        <w:r w:rsidRPr="004E0963">
          <w:rPr>
            <w:rFonts w:ascii="Roboto" w:eastAsia="Times New Roman" w:hAnsi="Roboto" w:cs="Times New Roman"/>
            <w:color w:val="0066CC"/>
            <w:sz w:val="21"/>
            <w:szCs w:val="21"/>
            <w:u w:val="single"/>
            <w:lang w:eastAsia="en-GB"/>
          </w:rPr>
          <w:t>https://libkey.io/10.1044/2025_AJSLP-25-00092</w:t>
        </w:r>
      </w:hyperlink>
    </w:p>
    <w:p w14:paraId="3F660958" w14:textId="2E43776C"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2. </w:t>
      </w:r>
      <w:r w:rsidRPr="004E0963">
        <w:rPr>
          <w:rFonts w:ascii="Roboto" w:eastAsia="Times New Roman" w:hAnsi="Roboto" w:cs="Times New Roman"/>
          <w:b/>
          <w:bCs/>
          <w:color w:val="000000"/>
          <w:sz w:val="21"/>
          <w:szCs w:val="21"/>
          <w:lang w:eastAsia="en-GB"/>
        </w:rPr>
        <w:t xml:space="preserve">Diagnostic utility of </w:t>
      </w:r>
      <w:proofErr w:type="spellStart"/>
      <w:r w:rsidRPr="004E0963">
        <w:rPr>
          <w:rFonts w:ascii="Roboto" w:eastAsia="Times New Roman" w:hAnsi="Roboto" w:cs="Times New Roman"/>
          <w:b/>
          <w:bCs/>
          <w:color w:val="000000"/>
          <w:sz w:val="21"/>
          <w:szCs w:val="21"/>
          <w:lang w:eastAsia="en-GB"/>
        </w:rPr>
        <w:t>videofluoroscopic</w:t>
      </w:r>
      <w:proofErr w:type="spellEnd"/>
      <w:r w:rsidRPr="004E0963">
        <w:rPr>
          <w:rFonts w:ascii="Roboto" w:eastAsia="Times New Roman" w:hAnsi="Roboto" w:cs="Times New Roman"/>
          <w:b/>
          <w:bCs/>
          <w:color w:val="000000"/>
          <w:sz w:val="21"/>
          <w:szCs w:val="21"/>
          <w:lang w:eastAsia="en-GB"/>
        </w:rPr>
        <w:t xml:space="preserve"> swallowing study in patients presenting with the sensation of food sticking in the throat: a retrospective analysis.</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Tekin, Mustafa Said and Nerse, Fatma</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Sep 26 ,2025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Acta Oto-</w:t>
      </w:r>
      <w:proofErr w:type="spellStart"/>
      <w:r w:rsidRPr="004E0963">
        <w:rPr>
          <w:rFonts w:ascii="Roboto" w:eastAsia="Times New Roman" w:hAnsi="Roboto" w:cs="Times New Roman"/>
          <w:color w:val="000000"/>
          <w:sz w:val="21"/>
          <w:szCs w:val="21"/>
          <w:lang w:eastAsia="en-GB"/>
        </w:rPr>
        <w:t>Laryngologica</w:t>
      </w:r>
      <w:proofErr w:type="spellEnd"/>
      <w:r w:rsidRPr="004E0963">
        <w:rPr>
          <w:rFonts w:ascii="Roboto" w:eastAsia="Times New Roman" w:hAnsi="Roboto" w:cs="Times New Roman"/>
          <w:color w:val="000000"/>
          <w:sz w:val="21"/>
          <w:szCs w:val="21"/>
          <w:lang w:eastAsia="en-GB"/>
        </w:rPr>
        <w:t xml:space="preserve"> 1-8</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BACKGROUND</w:t>
      </w:r>
      <w:r w:rsidRPr="004E0963">
        <w:rPr>
          <w:rFonts w:ascii="Roboto" w:eastAsia="Times New Roman" w:hAnsi="Roboto" w:cs="Times New Roman"/>
          <w:color w:val="000000"/>
          <w:sz w:val="21"/>
          <w:szCs w:val="21"/>
          <w:lang w:eastAsia="en-GB"/>
        </w:rPr>
        <w:t xml:space="preserve">: The sensation of food 'sticking' in the throat is a frequent but diagnostically challenging symptom that often persists despite normal ENT findings. </w:t>
      </w:r>
      <w:proofErr w:type="spellStart"/>
      <w:r w:rsidRPr="004E0963">
        <w:rPr>
          <w:rFonts w:ascii="Roboto" w:eastAsia="Times New Roman" w:hAnsi="Roboto" w:cs="Times New Roman"/>
          <w:color w:val="000000"/>
          <w:sz w:val="21"/>
          <w:szCs w:val="21"/>
          <w:lang w:eastAsia="en-GB"/>
        </w:rPr>
        <w:t>Videofluoroscopic</w:t>
      </w:r>
      <w:proofErr w:type="spellEnd"/>
      <w:r w:rsidRPr="004E0963">
        <w:rPr>
          <w:rFonts w:ascii="Roboto" w:eastAsia="Times New Roman" w:hAnsi="Roboto" w:cs="Times New Roman"/>
          <w:color w:val="000000"/>
          <w:sz w:val="21"/>
          <w:szCs w:val="21"/>
          <w:lang w:eastAsia="en-GB"/>
        </w:rPr>
        <w:t xml:space="preserve"> swallowing study (VFSS) enables dynamic evaluation of swallowing physiology and may reveal hidden abnormalities. </w:t>
      </w:r>
      <w:r w:rsidRPr="004E0963">
        <w:rPr>
          <w:rFonts w:ascii="Roboto" w:eastAsia="Times New Roman" w:hAnsi="Roboto" w:cs="Times New Roman"/>
          <w:b/>
          <w:bCs/>
          <w:color w:val="000000"/>
          <w:sz w:val="21"/>
          <w:szCs w:val="21"/>
          <w:lang w:eastAsia="en-GB"/>
        </w:rPr>
        <w:t>AIMS/OBJECTIVES</w:t>
      </w:r>
      <w:r w:rsidRPr="004E0963">
        <w:rPr>
          <w:rFonts w:ascii="Roboto" w:eastAsia="Times New Roman" w:hAnsi="Roboto" w:cs="Times New Roman"/>
          <w:color w:val="000000"/>
          <w:sz w:val="21"/>
          <w:szCs w:val="21"/>
          <w:lang w:eastAsia="en-GB"/>
        </w:rPr>
        <w:t>: To assess the diagnostic yield of VFSS in patients with throat-related dysphagia, focusing on abnormality type, localisation, and bolus consistency. </w:t>
      </w:r>
      <w:r w:rsidRPr="004E0963">
        <w:rPr>
          <w:rFonts w:ascii="Roboto" w:eastAsia="Times New Roman" w:hAnsi="Roboto" w:cs="Times New Roman"/>
          <w:b/>
          <w:bCs/>
          <w:color w:val="000000"/>
          <w:sz w:val="21"/>
          <w:szCs w:val="21"/>
          <w:lang w:eastAsia="en-GB"/>
        </w:rPr>
        <w:t>MATERIALS AND METHODS</w:t>
      </w:r>
      <w:r w:rsidRPr="004E0963">
        <w:rPr>
          <w:rFonts w:ascii="Roboto" w:eastAsia="Times New Roman" w:hAnsi="Roboto" w:cs="Times New Roman"/>
          <w:color w:val="000000"/>
          <w:sz w:val="21"/>
          <w:szCs w:val="21"/>
          <w:lang w:eastAsia="en-GB"/>
        </w:rPr>
        <w:t xml:space="preserve">: This retrospective study included 42 patients with persistent symptoms but normal endoscopic examinations between January 2020 and January 2025. Reflux-related findings were excluded. VFSS was performed with nectar-thick liquids, pudding, and solids. Abnormalities were classified by </w:t>
      </w:r>
      <w:r w:rsidRPr="004E0963">
        <w:rPr>
          <w:rFonts w:ascii="Roboto" w:eastAsia="Times New Roman" w:hAnsi="Roboto" w:cs="Times New Roman"/>
          <w:color w:val="000000"/>
          <w:sz w:val="21"/>
          <w:szCs w:val="21"/>
          <w:lang w:eastAsia="en-GB"/>
        </w:rPr>
        <w:lastRenderedPageBreak/>
        <w:t xml:space="preserve">site and </w:t>
      </w:r>
      <w:proofErr w:type="spellStart"/>
      <w:r w:rsidRPr="004E0963">
        <w:rPr>
          <w:rFonts w:ascii="Roboto" w:eastAsia="Times New Roman" w:hAnsi="Roboto" w:cs="Times New Roman"/>
          <w:color w:val="000000"/>
          <w:sz w:val="21"/>
          <w:szCs w:val="21"/>
          <w:lang w:eastAsia="en-GB"/>
        </w:rPr>
        <w:t>etiology</w:t>
      </w:r>
      <w:proofErr w:type="spellEnd"/>
      <w:r w:rsidRPr="004E0963">
        <w:rPr>
          <w:rFonts w:ascii="Roboto" w:eastAsia="Times New Roman" w:hAnsi="Roboto" w:cs="Times New Roman"/>
          <w:color w:val="000000"/>
          <w:sz w:val="21"/>
          <w:szCs w:val="21"/>
          <w:lang w:eastAsia="en-GB"/>
        </w:rPr>
        <w:t>. Concordance between symptom site and VFSS findings was analysed. </w:t>
      </w:r>
      <w:r w:rsidRPr="004E0963">
        <w:rPr>
          <w:rFonts w:ascii="Roboto" w:eastAsia="Times New Roman" w:hAnsi="Roboto" w:cs="Times New Roman"/>
          <w:b/>
          <w:bCs/>
          <w:color w:val="000000"/>
          <w:sz w:val="21"/>
          <w:szCs w:val="21"/>
          <w:lang w:eastAsia="en-GB"/>
        </w:rPr>
        <w:t>RESULTS</w:t>
      </w:r>
      <w:r w:rsidRPr="004E0963">
        <w:rPr>
          <w:rFonts w:ascii="Roboto" w:eastAsia="Times New Roman" w:hAnsi="Roboto" w:cs="Times New Roman"/>
          <w:color w:val="000000"/>
          <w:sz w:val="21"/>
          <w:szCs w:val="21"/>
          <w:lang w:eastAsia="en-GB"/>
        </w:rPr>
        <w:t>: VFSS detected abnormalities in 74% of patients, predominantly physiological (65%) and within the oesophageal body (55%). Symptom-pathology concordance was low (26%). Solids provided the highest diagnostic yield (50%). </w:t>
      </w:r>
      <w:r w:rsidRPr="004E0963">
        <w:rPr>
          <w:rFonts w:ascii="Roboto" w:eastAsia="Times New Roman" w:hAnsi="Roboto" w:cs="Times New Roman"/>
          <w:b/>
          <w:bCs/>
          <w:color w:val="000000"/>
          <w:sz w:val="21"/>
          <w:szCs w:val="21"/>
          <w:lang w:eastAsia="en-GB"/>
        </w:rPr>
        <w:t>CONCLUSIONS AND SIGNIFICANCE</w:t>
      </w:r>
      <w:r w:rsidRPr="004E0963">
        <w:rPr>
          <w:rFonts w:ascii="Roboto" w:eastAsia="Times New Roman" w:hAnsi="Roboto" w:cs="Times New Roman"/>
          <w:color w:val="000000"/>
          <w:sz w:val="21"/>
          <w:szCs w:val="21"/>
          <w:lang w:eastAsia="en-GB"/>
        </w:rPr>
        <w:t>: VFSS is valuable in unexplained dysphagia with normal ENT findings, particularly when symptoms occur with solids. Including oesophageal evaluation and varied consistencies improves diagnostic precision and guides management.</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39" w:tgtFrame="_blank" w:history="1">
        <w:r w:rsidRPr="004E0963">
          <w:rPr>
            <w:rFonts w:ascii="Roboto" w:eastAsia="Times New Roman" w:hAnsi="Roboto" w:cs="Times New Roman"/>
            <w:color w:val="0066CC"/>
            <w:sz w:val="21"/>
            <w:szCs w:val="21"/>
            <w:u w:val="single"/>
            <w:lang w:eastAsia="en-GB"/>
          </w:rPr>
          <w:t>https://libkey.io/10.1080/00016489.2025.2561920</w:t>
        </w:r>
      </w:hyperlink>
    </w:p>
    <w:p w14:paraId="74FCEB17" w14:textId="48815840" w:rsidR="003E7AE2" w:rsidRDefault="004E0963" w:rsidP="004E0963">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i/>
          <w:iCs/>
          <w:color w:val="000000"/>
          <w:sz w:val="21"/>
          <w:szCs w:val="21"/>
          <w:shd w:val="clear" w:color="auto" w:fill="FFFFFF"/>
          <w:lang w:eastAsia="en-GB"/>
        </w:rPr>
        <w:t>You will need your </w:t>
      </w:r>
      <w:hyperlink r:id="rId40" w:history="1">
        <w:r w:rsidRPr="004E0963">
          <w:rPr>
            <w:rFonts w:ascii="Roboto" w:eastAsia="Times New Roman" w:hAnsi="Roboto" w:cs="Times New Roman"/>
            <w:i/>
            <w:iCs/>
            <w:color w:val="0066CC"/>
            <w:sz w:val="21"/>
            <w:szCs w:val="21"/>
            <w:u w:val="single"/>
            <w:lang w:eastAsia="en-GB"/>
          </w:rPr>
          <w:t xml:space="preserve">NHS </w:t>
        </w:r>
        <w:proofErr w:type="spellStart"/>
        <w:r w:rsidRPr="004E0963">
          <w:rPr>
            <w:rFonts w:ascii="Roboto" w:eastAsia="Times New Roman" w:hAnsi="Roboto" w:cs="Times New Roman"/>
            <w:i/>
            <w:iCs/>
            <w:color w:val="0066CC"/>
            <w:sz w:val="21"/>
            <w:szCs w:val="21"/>
            <w:u w:val="single"/>
            <w:lang w:eastAsia="en-GB"/>
          </w:rPr>
          <w:t>OpenAthens</w:t>
        </w:r>
        <w:proofErr w:type="spellEnd"/>
        <w:r w:rsidRPr="004E0963">
          <w:rPr>
            <w:rFonts w:ascii="Roboto" w:eastAsia="Times New Roman" w:hAnsi="Roboto" w:cs="Times New Roman"/>
            <w:i/>
            <w:iCs/>
            <w:color w:val="0066CC"/>
            <w:sz w:val="21"/>
            <w:szCs w:val="21"/>
            <w:u w:val="single"/>
            <w:lang w:eastAsia="en-GB"/>
          </w:rPr>
          <w:t xml:space="preserve"> account</w:t>
        </w:r>
      </w:hyperlink>
      <w:r w:rsidRPr="004E0963">
        <w:rPr>
          <w:rFonts w:ascii="Roboto" w:eastAsia="Times New Roman" w:hAnsi="Roboto" w:cs="Times New Roman"/>
          <w:i/>
          <w:iCs/>
          <w:color w:val="000000"/>
          <w:sz w:val="21"/>
          <w:szCs w:val="21"/>
          <w:shd w:val="clear" w:color="auto" w:fill="FFFFFF"/>
          <w:lang w:eastAsia="en-GB"/>
        </w:rPr>
        <w:t> to access the full text of licenced content.</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i/>
          <w:iCs/>
          <w:color w:val="000000"/>
          <w:sz w:val="21"/>
          <w:szCs w:val="21"/>
          <w:shd w:val="clear" w:color="auto" w:fill="FFFFFF"/>
          <w:lang w:eastAsia="en-GB"/>
        </w:rPr>
        <w:t>This service is provided to the NHS in England by NHSE Workforce, Training &amp; Education.</w:t>
      </w:r>
    </w:p>
    <w:p w14:paraId="25D3CC3D" w14:textId="77777777" w:rsidR="003E7AE2" w:rsidRDefault="003E7AE2" w:rsidP="003E7AE2">
      <w:pPr>
        <w:pStyle w:val="Heading1"/>
      </w:pPr>
      <w:bookmarkStart w:id="4" w:name="_Toc210896923"/>
      <w:r>
        <w:t>FEES</w:t>
      </w:r>
      <w:bookmarkEnd w:id="4"/>
    </w:p>
    <w:p w14:paraId="343AE599" w14:textId="7009425A"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1. </w:t>
      </w:r>
      <w:proofErr w:type="spellStart"/>
      <w:r w:rsidRPr="004E0963">
        <w:rPr>
          <w:rFonts w:ascii="Roboto" w:eastAsia="Times New Roman" w:hAnsi="Roboto" w:cs="Times New Roman"/>
          <w:b/>
          <w:bCs/>
          <w:color w:val="000000"/>
          <w:sz w:val="21"/>
          <w:szCs w:val="21"/>
          <w:lang w:eastAsia="en-GB"/>
        </w:rPr>
        <w:t>Pharyngolaryngeal</w:t>
      </w:r>
      <w:proofErr w:type="spellEnd"/>
      <w:r w:rsidRPr="004E0963">
        <w:rPr>
          <w:rFonts w:ascii="Roboto" w:eastAsia="Times New Roman" w:hAnsi="Roboto" w:cs="Times New Roman"/>
          <w:b/>
          <w:bCs/>
          <w:color w:val="000000"/>
          <w:sz w:val="21"/>
          <w:szCs w:val="21"/>
          <w:lang w:eastAsia="en-GB"/>
        </w:rPr>
        <w:t xml:space="preserve"> Abnormalities viewed via </w:t>
      </w:r>
      <w:proofErr w:type="spellStart"/>
      <w:r w:rsidRPr="004E0963">
        <w:rPr>
          <w:rFonts w:ascii="Roboto" w:eastAsia="Times New Roman" w:hAnsi="Roboto" w:cs="Times New Roman"/>
          <w:b/>
          <w:bCs/>
          <w:color w:val="000000"/>
          <w:sz w:val="21"/>
          <w:szCs w:val="21"/>
          <w:lang w:eastAsia="en-GB"/>
        </w:rPr>
        <w:t>nasoendoscopy</w:t>
      </w:r>
      <w:proofErr w:type="spellEnd"/>
      <w:r w:rsidRPr="004E0963">
        <w:rPr>
          <w:rFonts w:ascii="Roboto" w:eastAsia="Times New Roman" w:hAnsi="Roboto" w:cs="Times New Roman"/>
          <w:b/>
          <w:bCs/>
          <w:color w:val="000000"/>
          <w:sz w:val="21"/>
          <w:szCs w:val="21"/>
          <w:lang w:eastAsia="en-GB"/>
        </w:rPr>
        <w:t xml:space="preserve"> associated with Oropharyngeal Dysphagia in Adults: A Scoping Review.</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xml:space="preserve"> Boggiano, </w:t>
      </w:r>
      <w:proofErr w:type="spellStart"/>
      <w:r w:rsidRPr="004E0963">
        <w:rPr>
          <w:rFonts w:ascii="Roboto" w:eastAsia="Times New Roman" w:hAnsi="Roboto" w:cs="Times New Roman"/>
          <w:color w:val="000000"/>
          <w:sz w:val="21"/>
          <w:szCs w:val="21"/>
          <w:lang w:eastAsia="en-GB"/>
        </w:rPr>
        <w:t>Sarah;Freeman-Sanderson</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Amy;Miles</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Anna;Power</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Emma;Rogers</w:t>
      </w:r>
      <w:proofErr w:type="spellEnd"/>
      <w:r w:rsidRPr="004E0963">
        <w:rPr>
          <w:rFonts w:ascii="Roboto" w:eastAsia="Times New Roman" w:hAnsi="Roboto" w:cs="Times New Roman"/>
          <w:color w:val="000000"/>
          <w:sz w:val="21"/>
          <w:szCs w:val="21"/>
          <w:lang w:eastAsia="en-GB"/>
        </w:rPr>
        <w:t>, Kris and Wallace, Sarah</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Dysphagia</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w:t>
      </w:r>
      <w:r w:rsidRPr="004E0963">
        <w:rPr>
          <w:rFonts w:ascii="Roboto" w:eastAsia="Times New Roman" w:hAnsi="Roboto" w:cs="Times New Roman"/>
          <w:color w:val="000000"/>
          <w:sz w:val="21"/>
          <w:szCs w:val="21"/>
          <w:lang w:eastAsia="en-GB"/>
        </w:rPr>
        <w:t xml:space="preserve">To identify in the literature which </w:t>
      </w:r>
      <w:proofErr w:type="spellStart"/>
      <w:r w:rsidRPr="004E0963">
        <w:rPr>
          <w:rFonts w:ascii="Roboto" w:eastAsia="Times New Roman" w:hAnsi="Roboto" w:cs="Times New Roman"/>
          <w:color w:val="000000"/>
          <w:sz w:val="21"/>
          <w:szCs w:val="21"/>
          <w:lang w:eastAsia="en-GB"/>
        </w:rPr>
        <w:t>pharyngolaryngeal</w:t>
      </w:r>
      <w:proofErr w:type="spellEnd"/>
      <w:r w:rsidRPr="004E0963">
        <w:rPr>
          <w:rFonts w:ascii="Roboto" w:eastAsia="Times New Roman" w:hAnsi="Roboto" w:cs="Times New Roman"/>
          <w:color w:val="000000"/>
          <w:sz w:val="21"/>
          <w:szCs w:val="21"/>
          <w:lang w:eastAsia="en-GB"/>
        </w:rPr>
        <w:t xml:space="preserve"> abnormalities (PLA) co-occur or are associated with oropharyngeal dysphagia when viewed via </w:t>
      </w:r>
      <w:proofErr w:type="spellStart"/>
      <w:r w:rsidRPr="004E0963">
        <w:rPr>
          <w:rFonts w:ascii="Roboto" w:eastAsia="Times New Roman" w:hAnsi="Roboto" w:cs="Times New Roman"/>
          <w:color w:val="000000"/>
          <w:sz w:val="21"/>
          <w:szCs w:val="21"/>
          <w:lang w:eastAsia="en-GB"/>
        </w:rPr>
        <w:t>nasoendoscopy</w:t>
      </w:r>
      <w:proofErr w:type="spellEnd"/>
      <w:r w:rsidRPr="004E0963">
        <w:rPr>
          <w:rFonts w:ascii="Roboto" w:eastAsia="Times New Roman" w:hAnsi="Roboto" w:cs="Times New Roman"/>
          <w:color w:val="000000"/>
          <w:sz w:val="21"/>
          <w:szCs w:val="21"/>
          <w:lang w:eastAsia="en-GB"/>
        </w:rPr>
        <w:t>. Flexible Endoscopic Evaluation of Swallowing (FEES) is an examination used to assess swallowing. Currently there are no standardized frameworks to observe and report on PLAs observed during a FEES procedure to support diagnostics and inform management. Multiple databases (Scopus (Elsevier), Medline (Ovid), CINAHL (EBSCO) and EMBASE (Ovid)) were searched against inclusion criteria from 1980 to 2024. Key search terms included variations of larynx, pharynx, FEES, and oropharyngeal dysphagia. The study utilized PRISMA-</w:t>
      </w:r>
      <w:proofErr w:type="spellStart"/>
      <w:r w:rsidRPr="004E0963">
        <w:rPr>
          <w:rFonts w:ascii="Roboto" w:eastAsia="Times New Roman" w:hAnsi="Roboto" w:cs="Times New Roman"/>
          <w:color w:val="000000"/>
          <w:sz w:val="21"/>
          <w:szCs w:val="21"/>
          <w:lang w:eastAsia="en-GB"/>
        </w:rPr>
        <w:t>ScR</w:t>
      </w:r>
      <w:proofErr w:type="spellEnd"/>
      <w:r w:rsidRPr="004E0963">
        <w:rPr>
          <w:rFonts w:ascii="Roboto" w:eastAsia="Times New Roman" w:hAnsi="Roboto" w:cs="Times New Roman"/>
          <w:color w:val="000000"/>
          <w:sz w:val="21"/>
          <w:szCs w:val="21"/>
          <w:lang w:eastAsia="en-GB"/>
        </w:rPr>
        <w:t xml:space="preserve"> reporting items. Two independent reviewers screened in two phases. Reporting of PLAs with oropharyngeal dysphagia was represented using frequency of co-occurrence and, where available, any statistical analyses attempting to demonstrate an association. Prevalence was calculated for PLA and presence of signs/symptoms of oropharyngeal dysphagia. 117 articles were included for full text review. Data were synthesized into 24 PLA within six categories. PLAs with both frequency of co-occurrence and statistical analysis attempting to demonstrate an association with oropharyngeal dysphagia included unilateral vocal fold motion impairment (UVFMI), velopharyngeal insufficiency, arytenoid motion impairment, incomplete glottic closure, vocal fold atrophy/bowing, </w:t>
      </w:r>
      <w:proofErr w:type="spellStart"/>
      <w:r w:rsidRPr="004E0963">
        <w:rPr>
          <w:rFonts w:ascii="Roboto" w:eastAsia="Times New Roman" w:hAnsi="Roboto" w:cs="Times New Roman"/>
          <w:color w:val="000000"/>
          <w:sz w:val="21"/>
          <w:szCs w:val="21"/>
          <w:lang w:eastAsia="en-GB"/>
        </w:rPr>
        <w:t>edema</w:t>
      </w:r>
      <w:proofErr w:type="spellEnd"/>
      <w:r w:rsidRPr="004E0963">
        <w:rPr>
          <w:rFonts w:ascii="Roboto" w:eastAsia="Times New Roman" w:hAnsi="Roboto" w:cs="Times New Roman"/>
          <w:color w:val="000000"/>
          <w:sz w:val="21"/>
          <w:szCs w:val="21"/>
          <w:lang w:eastAsia="en-GB"/>
        </w:rPr>
        <w:t xml:space="preserve">, and hematoma. This scoping review presents evidence relating to PLAs seen via </w:t>
      </w:r>
      <w:proofErr w:type="spellStart"/>
      <w:r w:rsidRPr="004E0963">
        <w:rPr>
          <w:rFonts w:ascii="Roboto" w:eastAsia="Times New Roman" w:hAnsi="Roboto" w:cs="Times New Roman"/>
          <w:color w:val="000000"/>
          <w:sz w:val="21"/>
          <w:szCs w:val="21"/>
          <w:lang w:eastAsia="en-GB"/>
        </w:rPr>
        <w:t>nasoendoscopy</w:t>
      </w:r>
      <w:proofErr w:type="spellEnd"/>
      <w:r w:rsidRPr="004E0963">
        <w:rPr>
          <w:rFonts w:ascii="Roboto" w:eastAsia="Times New Roman" w:hAnsi="Roboto" w:cs="Times New Roman"/>
          <w:color w:val="000000"/>
          <w:sz w:val="21"/>
          <w:szCs w:val="21"/>
          <w:lang w:eastAsia="en-GB"/>
        </w:rPr>
        <w:t xml:space="preserve"> and their reported co-occurrence with oropharyngeal dysphagia. Overall, seven PLA were shown to have an association with oropharyngeal dysphagia, and a further 11 PLA had frequency of co-occurrence with oropharyngeal dysphagia without statistical analysis to support association. Whilst these findings suggest a relationship between PLA and oropharyngeal dysphagia, further research is required to confirm causation of each PLA on swallowing function. Systematic swallowing assessment and use of outcome measures that consider the presence of </w:t>
      </w:r>
      <w:proofErr w:type="spellStart"/>
      <w:r w:rsidRPr="004E0963">
        <w:rPr>
          <w:rFonts w:ascii="Roboto" w:eastAsia="Times New Roman" w:hAnsi="Roboto" w:cs="Times New Roman"/>
          <w:color w:val="000000"/>
          <w:sz w:val="21"/>
          <w:szCs w:val="21"/>
          <w:lang w:eastAsia="en-GB"/>
        </w:rPr>
        <w:t>pharyngolaryngeal</w:t>
      </w:r>
      <w:proofErr w:type="spellEnd"/>
      <w:r w:rsidRPr="004E0963">
        <w:rPr>
          <w:rFonts w:ascii="Roboto" w:eastAsia="Times New Roman" w:hAnsi="Roboto" w:cs="Times New Roman"/>
          <w:color w:val="000000"/>
          <w:sz w:val="21"/>
          <w:szCs w:val="21"/>
          <w:lang w:eastAsia="en-GB"/>
        </w:rPr>
        <w:t xml:space="preserve"> abnormalities, will help generate rigorous evidence that is needed to advance precision in diagnostics of swallowing impairment and subsequent interventions.</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41" w:tgtFrame="_blank" w:history="1">
        <w:r w:rsidRPr="004E0963">
          <w:rPr>
            <w:rFonts w:ascii="Roboto" w:eastAsia="Times New Roman" w:hAnsi="Roboto" w:cs="Times New Roman"/>
            <w:color w:val="0066CC"/>
            <w:sz w:val="21"/>
            <w:szCs w:val="21"/>
            <w:u w:val="single"/>
            <w:lang w:eastAsia="en-GB"/>
          </w:rPr>
          <w:t>https://libkey.io/10.1007/s00455-025-10884-6</w:t>
        </w:r>
      </w:hyperlink>
    </w:p>
    <w:p w14:paraId="5286EF6E" w14:textId="29C13901"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lastRenderedPageBreak/>
        <w:t>2. </w:t>
      </w:r>
      <w:r w:rsidRPr="004E0963">
        <w:rPr>
          <w:rFonts w:ascii="Roboto" w:eastAsia="Times New Roman" w:hAnsi="Roboto" w:cs="Times New Roman"/>
          <w:b/>
          <w:bCs/>
          <w:color w:val="000000"/>
          <w:sz w:val="21"/>
          <w:szCs w:val="21"/>
          <w:lang w:eastAsia="en-GB"/>
        </w:rPr>
        <w:t>Swallowing Guidance with FEES May Alleviate Symptoms in Functional Dysphagia.</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xml:space="preserve"> Kuuskoski, </w:t>
      </w:r>
      <w:proofErr w:type="spellStart"/>
      <w:proofErr w:type="gramStart"/>
      <w:r w:rsidRPr="004E0963">
        <w:rPr>
          <w:rFonts w:ascii="Roboto" w:eastAsia="Times New Roman" w:hAnsi="Roboto" w:cs="Times New Roman"/>
          <w:color w:val="000000"/>
          <w:sz w:val="21"/>
          <w:szCs w:val="21"/>
          <w:lang w:eastAsia="en-GB"/>
        </w:rPr>
        <w:t>Jonna;Rekola</w:t>
      </w:r>
      <w:proofErr w:type="spellEnd"/>
      <w:proofErr w:type="gramEnd"/>
      <w:r w:rsidRPr="004E0963">
        <w:rPr>
          <w:rFonts w:ascii="Roboto" w:eastAsia="Times New Roman" w:hAnsi="Roboto" w:cs="Times New Roman"/>
          <w:color w:val="000000"/>
          <w:sz w:val="21"/>
          <w:szCs w:val="21"/>
          <w:lang w:eastAsia="en-GB"/>
        </w:rPr>
        <w:t xml:space="preserve">, </w:t>
      </w:r>
      <w:proofErr w:type="spellStart"/>
      <w:proofErr w:type="gramStart"/>
      <w:r w:rsidRPr="004E0963">
        <w:rPr>
          <w:rFonts w:ascii="Roboto" w:eastAsia="Times New Roman" w:hAnsi="Roboto" w:cs="Times New Roman"/>
          <w:color w:val="000000"/>
          <w:sz w:val="21"/>
          <w:szCs w:val="21"/>
          <w:lang w:eastAsia="en-GB"/>
        </w:rPr>
        <w:t>Jami;Sintonen</w:t>
      </w:r>
      <w:proofErr w:type="spellEnd"/>
      <w:proofErr w:type="gramEnd"/>
      <w:r w:rsidRPr="004E0963">
        <w:rPr>
          <w:rFonts w:ascii="Roboto" w:eastAsia="Times New Roman" w:hAnsi="Roboto" w:cs="Times New Roman"/>
          <w:color w:val="000000"/>
          <w:sz w:val="21"/>
          <w:szCs w:val="21"/>
          <w:lang w:eastAsia="en-GB"/>
        </w:rPr>
        <w:t xml:space="preserve">, </w:t>
      </w:r>
      <w:proofErr w:type="spellStart"/>
      <w:proofErr w:type="gramStart"/>
      <w:r w:rsidRPr="004E0963">
        <w:rPr>
          <w:rFonts w:ascii="Roboto" w:eastAsia="Times New Roman" w:hAnsi="Roboto" w:cs="Times New Roman"/>
          <w:color w:val="000000"/>
          <w:sz w:val="21"/>
          <w:szCs w:val="21"/>
          <w:lang w:eastAsia="en-GB"/>
        </w:rPr>
        <w:t>Harri;Aaltonen</w:t>
      </w:r>
      <w:proofErr w:type="spellEnd"/>
      <w:proofErr w:type="gramEnd"/>
      <w:r w:rsidRPr="004E0963">
        <w:rPr>
          <w:rFonts w:ascii="Roboto" w:eastAsia="Times New Roman" w:hAnsi="Roboto" w:cs="Times New Roman"/>
          <w:color w:val="000000"/>
          <w:sz w:val="21"/>
          <w:szCs w:val="21"/>
          <w:lang w:eastAsia="en-GB"/>
        </w:rPr>
        <w:t xml:space="preserve">, Leena-Maija and </w:t>
      </w:r>
      <w:proofErr w:type="spellStart"/>
      <w:r w:rsidRPr="004E0963">
        <w:rPr>
          <w:rFonts w:ascii="Roboto" w:eastAsia="Times New Roman" w:hAnsi="Roboto" w:cs="Times New Roman"/>
          <w:color w:val="000000"/>
          <w:sz w:val="21"/>
          <w:szCs w:val="21"/>
          <w:lang w:eastAsia="en-GB"/>
        </w:rPr>
        <w:t>Jarvenpaa</w:t>
      </w:r>
      <w:proofErr w:type="spellEnd"/>
      <w:r w:rsidRPr="004E0963">
        <w:rPr>
          <w:rFonts w:ascii="Roboto" w:eastAsia="Times New Roman" w:hAnsi="Roboto" w:cs="Times New Roman"/>
          <w:color w:val="000000"/>
          <w:sz w:val="21"/>
          <w:szCs w:val="21"/>
          <w:lang w:eastAsia="en-GB"/>
        </w:rPr>
        <w:t>, Pia</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Dysphagia</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w:t>
      </w:r>
      <w:r w:rsidRPr="004E0963">
        <w:rPr>
          <w:rFonts w:ascii="Roboto" w:eastAsia="Times New Roman" w:hAnsi="Roboto" w:cs="Times New Roman"/>
          <w:color w:val="000000"/>
          <w:sz w:val="21"/>
          <w:szCs w:val="21"/>
          <w:lang w:eastAsia="en-GB"/>
        </w:rPr>
        <w:t>Dysphagia is a common concern. In an outpatient phoniatric and otorhinolaryngology clinic, approximately one fourth of dysphagia patients are classified as having non-organic, or functional dysphagia. This study aimed to evaluate symptom severity, health-related quality of life (</w:t>
      </w:r>
      <w:proofErr w:type="spellStart"/>
      <w:r w:rsidRPr="004E0963">
        <w:rPr>
          <w:rFonts w:ascii="Roboto" w:eastAsia="Times New Roman" w:hAnsi="Roboto" w:cs="Times New Roman"/>
          <w:color w:val="000000"/>
          <w:sz w:val="21"/>
          <w:szCs w:val="21"/>
          <w:lang w:eastAsia="en-GB"/>
        </w:rPr>
        <w:t>HRQoL</w:t>
      </w:r>
      <w:proofErr w:type="spellEnd"/>
      <w:r w:rsidRPr="004E0963">
        <w:rPr>
          <w:rFonts w:ascii="Roboto" w:eastAsia="Times New Roman" w:hAnsi="Roboto" w:cs="Times New Roman"/>
          <w:color w:val="000000"/>
          <w:sz w:val="21"/>
          <w:szCs w:val="21"/>
          <w:lang w:eastAsia="en-GB"/>
        </w:rPr>
        <w:t xml:space="preserve">) and disability among dysphagia patients. Additionally, it focused on assessing the impact of flexible endoscopic evaluation of swallowing (FEES) and swallowing guidance particularly for patients with functional dysphagia. We recruited 60 consecutive dysphagia patients from our phoniatrics clinic. They completed the Eating Assessment Tool (EAT-10), the 15D Health-related Quality of Life Instrument and the World Health Organization Disability Assessment Schedule (WHODAS 2.0) questionnaires before their appointments. We performed FEES and gave swallowing guidance. One month later, the patients repeated the EAT-10, 15D, and WHODAS 2.0. At one-month follow-up, the EAT-10 scores of all 60 dysphagia patients (median age 65, range 18-89 years, 70% female), and the functional dysphagia patients (n = 15, 25%) had decreased significantly (p = 0.020, p = 0.029, respectively). Although the changes in the 15D and WHODAS 2.0 scores were insignificant, the score of WHODAS 2.0 item D3.3 concerning eating had decreased significantly in the functional dysphagia group (p = 0.020). Comparison of the whole dysphagia patient cohort to an age- and gender-standardized sample of the general population revealed significant differences in 15D total scores (p &lt; 0.001) and 12 of the 15 dimensions. Dysphagia seems to significantly diminish patients' </w:t>
      </w:r>
      <w:proofErr w:type="spellStart"/>
      <w:r w:rsidRPr="004E0963">
        <w:rPr>
          <w:rFonts w:ascii="Roboto" w:eastAsia="Times New Roman" w:hAnsi="Roboto" w:cs="Times New Roman"/>
          <w:color w:val="000000"/>
          <w:sz w:val="21"/>
          <w:szCs w:val="21"/>
          <w:lang w:eastAsia="en-GB"/>
        </w:rPr>
        <w:t>HRQoL</w:t>
      </w:r>
      <w:proofErr w:type="spellEnd"/>
      <w:r w:rsidRPr="004E0963">
        <w:rPr>
          <w:rFonts w:ascii="Roboto" w:eastAsia="Times New Roman" w:hAnsi="Roboto" w:cs="Times New Roman"/>
          <w:color w:val="000000"/>
          <w:sz w:val="21"/>
          <w:szCs w:val="21"/>
          <w:lang w:eastAsia="en-GB"/>
        </w:rPr>
        <w:t xml:space="preserve"> in comparison to that of the general population. A short FEES intervention with swallowing guidance may alleviate symptoms, especially in functional dysphagia.</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t>Copyright © 2025. The Author(s).</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42" w:tgtFrame="_blank" w:history="1">
        <w:r w:rsidRPr="004E0963">
          <w:rPr>
            <w:rFonts w:ascii="Roboto" w:eastAsia="Times New Roman" w:hAnsi="Roboto" w:cs="Times New Roman"/>
            <w:color w:val="0066CC"/>
            <w:sz w:val="21"/>
            <w:szCs w:val="21"/>
            <w:u w:val="single"/>
            <w:lang w:eastAsia="en-GB"/>
          </w:rPr>
          <w:t>https://libkey.io/10.1007/s00455-025-10869-5</w:t>
        </w:r>
      </w:hyperlink>
    </w:p>
    <w:p w14:paraId="494F15CE" w14:textId="1D9C286E" w:rsidR="003E7AE2" w:rsidRDefault="004E0963" w:rsidP="004E0963">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i/>
          <w:iCs/>
          <w:color w:val="000000"/>
          <w:sz w:val="21"/>
          <w:szCs w:val="21"/>
          <w:shd w:val="clear" w:color="auto" w:fill="FFFFFF"/>
          <w:lang w:eastAsia="en-GB"/>
        </w:rPr>
        <w:t>You will need your </w:t>
      </w:r>
      <w:hyperlink r:id="rId43" w:history="1">
        <w:r w:rsidRPr="004E0963">
          <w:rPr>
            <w:rFonts w:ascii="Roboto" w:eastAsia="Times New Roman" w:hAnsi="Roboto" w:cs="Times New Roman"/>
            <w:i/>
            <w:iCs/>
            <w:color w:val="0066CC"/>
            <w:sz w:val="21"/>
            <w:szCs w:val="21"/>
            <w:u w:val="single"/>
            <w:lang w:eastAsia="en-GB"/>
          </w:rPr>
          <w:t xml:space="preserve">NHS </w:t>
        </w:r>
        <w:proofErr w:type="spellStart"/>
        <w:r w:rsidRPr="004E0963">
          <w:rPr>
            <w:rFonts w:ascii="Roboto" w:eastAsia="Times New Roman" w:hAnsi="Roboto" w:cs="Times New Roman"/>
            <w:i/>
            <w:iCs/>
            <w:color w:val="0066CC"/>
            <w:sz w:val="21"/>
            <w:szCs w:val="21"/>
            <w:u w:val="single"/>
            <w:lang w:eastAsia="en-GB"/>
          </w:rPr>
          <w:t>OpenAthens</w:t>
        </w:r>
        <w:proofErr w:type="spellEnd"/>
        <w:r w:rsidRPr="004E0963">
          <w:rPr>
            <w:rFonts w:ascii="Roboto" w:eastAsia="Times New Roman" w:hAnsi="Roboto" w:cs="Times New Roman"/>
            <w:i/>
            <w:iCs/>
            <w:color w:val="0066CC"/>
            <w:sz w:val="21"/>
            <w:szCs w:val="21"/>
            <w:u w:val="single"/>
            <w:lang w:eastAsia="en-GB"/>
          </w:rPr>
          <w:t xml:space="preserve"> account</w:t>
        </w:r>
      </w:hyperlink>
      <w:r w:rsidRPr="004E0963">
        <w:rPr>
          <w:rFonts w:ascii="Roboto" w:eastAsia="Times New Roman" w:hAnsi="Roboto" w:cs="Times New Roman"/>
          <w:i/>
          <w:iCs/>
          <w:color w:val="000000"/>
          <w:sz w:val="21"/>
          <w:szCs w:val="21"/>
          <w:shd w:val="clear" w:color="auto" w:fill="FFFFFF"/>
          <w:lang w:eastAsia="en-GB"/>
        </w:rPr>
        <w:t> to access the full text of licenced content.</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i/>
          <w:iCs/>
          <w:color w:val="000000"/>
          <w:sz w:val="21"/>
          <w:szCs w:val="21"/>
          <w:shd w:val="clear" w:color="auto" w:fill="FFFFFF"/>
          <w:lang w:eastAsia="en-GB"/>
        </w:rPr>
        <w:t>This service is provided to the NHS in England by NHSE Workforce, Training &amp; Education.</w:t>
      </w:r>
    </w:p>
    <w:p w14:paraId="7A044AE9" w14:textId="77777777" w:rsidR="003E7AE2" w:rsidRPr="003E7AE2" w:rsidRDefault="003E7AE2" w:rsidP="003E7AE2">
      <w:pPr>
        <w:pStyle w:val="Heading1"/>
      </w:pPr>
      <w:bookmarkStart w:id="5" w:name="_Toc210896924"/>
      <w:r>
        <w:t>Neurorehabilitation</w:t>
      </w:r>
      <w:bookmarkEnd w:id="5"/>
    </w:p>
    <w:p w14:paraId="05435C1C" w14:textId="3A8BF0B5"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1. </w:t>
      </w:r>
      <w:r w:rsidRPr="004E0963">
        <w:rPr>
          <w:rFonts w:ascii="Roboto" w:eastAsia="Times New Roman" w:hAnsi="Roboto" w:cs="Times New Roman"/>
          <w:b/>
          <w:bCs/>
          <w:color w:val="000000"/>
          <w:sz w:val="21"/>
          <w:szCs w:val="21"/>
          <w:lang w:eastAsia="en-GB"/>
        </w:rPr>
        <w:t>"If I do not coordinate it, who else will?" professionals' experiences with informal coordination in complex neurological rehabilitation services.</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w:t>
      </w:r>
      <w:proofErr w:type="spellStart"/>
      <w:r w:rsidRPr="004E0963">
        <w:rPr>
          <w:rFonts w:ascii="Roboto" w:eastAsia="Times New Roman" w:hAnsi="Roboto" w:cs="Times New Roman"/>
          <w:color w:val="000000"/>
          <w:sz w:val="21"/>
          <w:szCs w:val="21"/>
          <w:lang w:eastAsia="en-GB"/>
        </w:rPr>
        <w:t>Skumsnes</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Randi;Groven</w:t>
      </w:r>
      <w:proofErr w:type="spellEnd"/>
      <w:r w:rsidRPr="004E0963">
        <w:rPr>
          <w:rFonts w:ascii="Roboto" w:eastAsia="Times New Roman" w:hAnsi="Roboto" w:cs="Times New Roman"/>
          <w:color w:val="000000"/>
          <w:sz w:val="21"/>
          <w:szCs w:val="21"/>
          <w:lang w:eastAsia="en-GB"/>
        </w:rPr>
        <w:t>, Karen Synne and Thygesen, Hilde</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Oct 07 ,2025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Disability &amp; Rehabilitation 1-13</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w:t>
      </w:r>
      <w:r w:rsidRPr="004E0963">
        <w:rPr>
          <w:rFonts w:ascii="Roboto" w:eastAsia="Times New Roman" w:hAnsi="Roboto" w:cs="Times New Roman"/>
          <w:color w:val="000000"/>
          <w:sz w:val="21"/>
          <w:szCs w:val="21"/>
          <w:lang w:eastAsia="en-GB"/>
        </w:rPr>
        <w:t xml:space="preserve">PURPOSE: This study aimed to explore healthcare professionals' experiences with informal coordination across healthcare levels in complex neurological rehabilitation services in Norway. METHOD: Semi-structured qualitative interviews were held with fourteen healthcare professionals working in rehabilitation services and representing different professions and healthcare-level workplaces. The transcribed data material was analysed using reflexive thematic analysis and discussed applying perspectives of person-centred </w:t>
      </w:r>
      <w:r w:rsidRPr="004E0963">
        <w:rPr>
          <w:rFonts w:ascii="Roboto" w:eastAsia="Times New Roman" w:hAnsi="Roboto" w:cs="Times New Roman"/>
          <w:color w:val="000000"/>
          <w:sz w:val="21"/>
          <w:szCs w:val="21"/>
          <w:lang w:eastAsia="en-GB"/>
        </w:rPr>
        <w:lastRenderedPageBreak/>
        <w:t>rehabilitation. FINDINGS: Two themes were developed that related to participants' experiences with informal coordination as supplementing perceived gaps or shortcomings in formal coordination [1]: Engagement and taking initiative in commitments to the patient [2], Challenges and dilemmas with informal coordination. CONCLUSION: In managing intricate neurological rehabilitation services across various professions and organisations, informal coordinating activities are essential to complement formal structures. While informal coordination is vital for achieving relational and person-centred rehabilitation, it can lead to challenges related to role ambiguity and unclear responsibilities.</w:t>
      </w:r>
      <w:r>
        <w:rPr>
          <w:rFonts w:ascii="Roboto" w:eastAsia="Times New Roman" w:hAnsi="Roboto" w:cs="Times New Roman"/>
          <w:color w:val="000000"/>
          <w:sz w:val="21"/>
          <w:szCs w:val="21"/>
          <w:lang w:eastAsia="en-GB"/>
        </w:rPr>
        <w:t xml:space="preserve"> </w:t>
      </w:r>
      <w:r w:rsidRPr="004E0963">
        <w:rPr>
          <w:rFonts w:ascii="Roboto" w:eastAsia="Times New Roman" w:hAnsi="Roboto" w:cs="Times New Roman"/>
          <w:color w:val="000000"/>
          <w:sz w:val="21"/>
          <w:szCs w:val="21"/>
          <w:lang w:eastAsia="en-GB"/>
        </w:rPr>
        <w:t>Our findings are relevant for rehabilitation and disability studies, as interprofessional collaboration and coordination are fundamental to service delivery. Further research is needed to explore how to integrate formal and informal coordination in complex neurological rehabilitation.; plain-language-summary This study offers insights into healthcare professionals' experiences with the coordination of complex neurological rehabilitation services in Norway.</w:t>
      </w:r>
      <w:r>
        <w:rPr>
          <w:rFonts w:ascii="Roboto" w:eastAsia="Times New Roman" w:hAnsi="Roboto" w:cs="Times New Roman"/>
          <w:color w:val="000000"/>
          <w:sz w:val="21"/>
          <w:szCs w:val="21"/>
          <w:lang w:eastAsia="en-GB"/>
        </w:rPr>
        <w:t xml:space="preserve"> </w:t>
      </w:r>
      <w:r w:rsidRPr="004E0963">
        <w:rPr>
          <w:rFonts w:ascii="Roboto" w:eastAsia="Times New Roman" w:hAnsi="Roboto" w:cs="Times New Roman"/>
          <w:color w:val="000000"/>
          <w:sz w:val="21"/>
          <w:szCs w:val="21"/>
          <w:lang w:eastAsia="en-GB"/>
        </w:rPr>
        <w:t>Policymakers, as well as managers and professionals in rehabilitation practices across organisations and professions, should acknowledge how a combination of formal and informal coordination is needed to achieve person-centred and cohesive rehabilitation services.</w:t>
      </w:r>
      <w:r>
        <w:rPr>
          <w:rFonts w:ascii="Roboto" w:eastAsia="Times New Roman" w:hAnsi="Roboto" w:cs="Times New Roman"/>
          <w:color w:val="000000"/>
          <w:sz w:val="21"/>
          <w:szCs w:val="21"/>
          <w:lang w:eastAsia="en-GB"/>
        </w:rPr>
        <w:t xml:space="preserve"> </w:t>
      </w:r>
      <w:r w:rsidRPr="004E0963">
        <w:rPr>
          <w:rFonts w:ascii="Roboto" w:eastAsia="Times New Roman" w:hAnsi="Roboto" w:cs="Times New Roman"/>
          <w:color w:val="000000"/>
          <w:sz w:val="21"/>
          <w:szCs w:val="21"/>
          <w:lang w:eastAsia="en-GB"/>
        </w:rPr>
        <w:t>Emphasis on clarifying roles and responsibilities across the involved professionals is of great importance, as the combination of formal and informal work appears to further increase the complexity of rehabilitation coordination. Language: English</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44" w:tgtFrame="_blank" w:history="1">
        <w:r w:rsidRPr="004E0963">
          <w:rPr>
            <w:rFonts w:ascii="Roboto" w:eastAsia="Times New Roman" w:hAnsi="Roboto" w:cs="Times New Roman"/>
            <w:color w:val="0066CC"/>
            <w:sz w:val="21"/>
            <w:szCs w:val="21"/>
            <w:u w:val="single"/>
            <w:lang w:eastAsia="en-GB"/>
          </w:rPr>
          <w:t>https://libkey.io/10.1080/09638288.2025.2570855</w:t>
        </w:r>
      </w:hyperlink>
    </w:p>
    <w:p w14:paraId="04315BC4" w14:textId="342478D4"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2. </w:t>
      </w:r>
      <w:r w:rsidRPr="004E0963">
        <w:rPr>
          <w:rFonts w:ascii="Roboto" w:eastAsia="Times New Roman" w:hAnsi="Roboto" w:cs="Times New Roman"/>
          <w:b/>
          <w:bCs/>
          <w:color w:val="000000"/>
          <w:sz w:val="21"/>
          <w:szCs w:val="21"/>
          <w:lang w:eastAsia="en-GB"/>
        </w:rPr>
        <w:t>Using the Delphi method to develop trauma-informed practice guidelines for neurorehabilitation.</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xml:space="preserve"> Smart, Colette </w:t>
      </w:r>
      <w:proofErr w:type="spellStart"/>
      <w:r w:rsidRPr="004E0963">
        <w:rPr>
          <w:rFonts w:ascii="Roboto" w:eastAsia="Times New Roman" w:hAnsi="Roboto" w:cs="Times New Roman"/>
          <w:color w:val="000000"/>
          <w:sz w:val="21"/>
          <w:szCs w:val="21"/>
          <w:lang w:eastAsia="en-GB"/>
        </w:rPr>
        <w:t>M.;Macoun</w:t>
      </w:r>
      <w:proofErr w:type="spellEnd"/>
      <w:r w:rsidRPr="004E0963">
        <w:rPr>
          <w:rFonts w:ascii="Roboto" w:eastAsia="Times New Roman" w:hAnsi="Roboto" w:cs="Times New Roman"/>
          <w:color w:val="000000"/>
          <w:sz w:val="21"/>
          <w:szCs w:val="21"/>
          <w:lang w:eastAsia="en-GB"/>
        </w:rPr>
        <w:t xml:space="preserve">, Sarah </w:t>
      </w:r>
      <w:proofErr w:type="spellStart"/>
      <w:r w:rsidRPr="004E0963">
        <w:rPr>
          <w:rFonts w:ascii="Roboto" w:eastAsia="Times New Roman" w:hAnsi="Roboto" w:cs="Times New Roman"/>
          <w:color w:val="000000"/>
          <w:sz w:val="21"/>
          <w:szCs w:val="21"/>
          <w:lang w:eastAsia="en-GB"/>
        </w:rPr>
        <w:t>J.;Qualls</w:t>
      </w:r>
      <w:proofErr w:type="spellEnd"/>
      <w:r w:rsidRPr="004E0963">
        <w:rPr>
          <w:rFonts w:ascii="Roboto" w:eastAsia="Times New Roman" w:hAnsi="Roboto" w:cs="Times New Roman"/>
          <w:color w:val="000000"/>
          <w:sz w:val="21"/>
          <w:szCs w:val="21"/>
          <w:lang w:eastAsia="en-GB"/>
        </w:rPr>
        <w:t xml:space="preserve">, Lauren </w:t>
      </w:r>
      <w:proofErr w:type="spellStart"/>
      <w:r w:rsidRPr="004E0963">
        <w:rPr>
          <w:rFonts w:ascii="Roboto" w:eastAsia="Times New Roman" w:hAnsi="Roboto" w:cs="Times New Roman"/>
          <w:color w:val="000000"/>
          <w:sz w:val="21"/>
          <w:szCs w:val="21"/>
          <w:lang w:eastAsia="en-GB"/>
        </w:rPr>
        <w:t>K.;Ellis</w:t>
      </w:r>
      <w:proofErr w:type="spellEnd"/>
      <w:r w:rsidRPr="004E0963">
        <w:rPr>
          <w:rFonts w:ascii="Roboto" w:eastAsia="Times New Roman" w:hAnsi="Roboto" w:cs="Times New Roman"/>
          <w:color w:val="000000"/>
          <w:sz w:val="21"/>
          <w:szCs w:val="21"/>
          <w:lang w:eastAsia="en-GB"/>
        </w:rPr>
        <w:t xml:space="preserve">, Hayley </w:t>
      </w:r>
      <w:proofErr w:type="spellStart"/>
      <w:r w:rsidRPr="004E0963">
        <w:rPr>
          <w:rFonts w:ascii="Roboto" w:eastAsia="Times New Roman" w:hAnsi="Roboto" w:cs="Times New Roman"/>
          <w:color w:val="000000"/>
          <w:sz w:val="21"/>
          <w:szCs w:val="21"/>
          <w:lang w:eastAsia="en-GB"/>
        </w:rPr>
        <w:t>A.;Baker</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Karen;Becker</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Emily;Burrell</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Richard;Ellis</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Shannon;Foster</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Julie;Jorgensen</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Steven;Loe</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James;McVaugh-Smock</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Simon;Power</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Allison;Techen</w:t>
      </w:r>
      <w:proofErr w:type="spellEnd"/>
      <w:r w:rsidRPr="004E0963">
        <w:rPr>
          <w:rFonts w:ascii="Roboto" w:eastAsia="Times New Roman" w:hAnsi="Roboto" w:cs="Times New Roman"/>
          <w:color w:val="000000"/>
          <w:sz w:val="21"/>
          <w:szCs w:val="21"/>
          <w:lang w:eastAsia="en-GB"/>
        </w:rPr>
        <w:t xml:space="preserve">, Katie and </w:t>
      </w:r>
      <w:proofErr w:type="spellStart"/>
      <w:r w:rsidRPr="004E0963">
        <w:rPr>
          <w:rFonts w:ascii="Roboto" w:eastAsia="Times New Roman" w:hAnsi="Roboto" w:cs="Times New Roman"/>
          <w:color w:val="000000"/>
          <w:sz w:val="21"/>
          <w:szCs w:val="21"/>
          <w:lang w:eastAsia="en-GB"/>
        </w:rPr>
        <w:t>Trueggelmann</w:t>
      </w:r>
      <w:proofErr w:type="spellEnd"/>
      <w:r w:rsidRPr="004E0963">
        <w:rPr>
          <w:rFonts w:ascii="Roboto" w:eastAsia="Times New Roman" w:hAnsi="Roboto" w:cs="Times New Roman"/>
          <w:color w:val="000000"/>
          <w:sz w:val="21"/>
          <w:szCs w:val="21"/>
          <w:lang w:eastAsia="en-GB"/>
        </w:rPr>
        <w:t>, Renee</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Rehabilitation Psychology</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STUDY OBJECTIVE</w:t>
      </w:r>
      <w:r w:rsidRPr="004E0963">
        <w:rPr>
          <w:rFonts w:ascii="Roboto" w:eastAsia="Times New Roman" w:hAnsi="Roboto" w:cs="Times New Roman"/>
          <w:color w:val="000000"/>
          <w:sz w:val="21"/>
          <w:szCs w:val="21"/>
          <w:lang w:eastAsia="en-GB"/>
        </w:rPr>
        <w:t>: Traumatic stress is common in persons with acquired brain injury. Untreated trauma not only negatively affects mental health but can also impact rehabilitation outcomes and overall recovery. However, not every neurorehabilitation professional has the scope of practice to treat traumatic stress, and providers may not feel well equipped to support patients dealing with significant trauma. Trauma-informed practice (TIP) is an approach in health care where traumatic stress is assumed to be common, and where the environment can be made to feel safe and welcoming without needing to address trauma directly. The objective of our study was to create draft consensus guidelines for TIP within the neurorehabilitation context. </w:t>
      </w:r>
      <w:r w:rsidRPr="004E0963">
        <w:rPr>
          <w:rFonts w:ascii="Roboto" w:eastAsia="Times New Roman" w:hAnsi="Roboto" w:cs="Times New Roman"/>
          <w:b/>
          <w:bCs/>
          <w:color w:val="000000"/>
          <w:sz w:val="21"/>
          <w:szCs w:val="21"/>
          <w:lang w:eastAsia="en-GB"/>
        </w:rPr>
        <w:t>RESEARCH METHOD</w:t>
      </w:r>
      <w:r w:rsidRPr="004E0963">
        <w:rPr>
          <w:rFonts w:ascii="Roboto" w:eastAsia="Times New Roman" w:hAnsi="Roboto" w:cs="Times New Roman"/>
          <w:color w:val="000000"/>
          <w:sz w:val="21"/>
          <w:szCs w:val="21"/>
          <w:lang w:eastAsia="en-GB"/>
        </w:rPr>
        <w:t xml:space="preserve">: Researchers, trainees, neurorehabilitation professionals, and adults with lived experience of acquired brain injury and traumatic stress were recruited to participate in our study. We used the Delphi method-a methodology used in health care to develop consensus-over the course of 12 months, whereby </w:t>
      </w:r>
      <w:proofErr w:type="spellStart"/>
      <w:r w:rsidRPr="004E0963">
        <w:rPr>
          <w:rFonts w:ascii="Roboto" w:eastAsia="Times New Roman" w:hAnsi="Roboto" w:cs="Times New Roman"/>
          <w:color w:val="000000"/>
          <w:sz w:val="21"/>
          <w:szCs w:val="21"/>
          <w:lang w:eastAsia="en-GB"/>
        </w:rPr>
        <w:t>panelists</w:t>
      </w:r>
      <w:proofErr w:type="spellEnd"/>
      <w:r w:rsidRPr="004E0963">
        <w:rPr>
          <w:rFonts w:ascii="Roboto" w:eastAsia="Times New Roman" w:hAnsi="Roboto" w:cs="Times New Roman"/>
          <w:color w:val="000000"/>
          <w:sz w:val="21"/>
          <w:szCs w:val="21"/>
          <w:lang w:eastAsia="en-GB"/>
        </w:rPr>
        <w:t xml:space="preserve"> participated in group meetings and individual qualitative interviews to generate preliminary items for our guidelines. </w:t>
      </w:r>
      <w:r w:rsidRPr="004E0963">
        <w:rPr>
          <w:rFonts w:ascii="Roboto" w:eastAsia="Times New Roman" w:hAnsi="Roboto" w:cs="Times New Roman"/>
          <w:b/>
          <w:bCs/>
          <w:color w:val="000000"/>
          <w:sz w:val="21"/>
          <w:szCs w:val="21"/>
          <w:lang w:eastAsia="en-GB"/>
        </w:rPr>
        <w:t>RESULTS</w:t>
      </w:r>
      <w:r w:rsidRPr="004E0963">
        <w:rPr>
          <w:rFonts w:ascii="Roboto" w:eastAsia="Times New Roman" w:hAnsi="Roboto" w:cs="Times New Roman"/>
          <w:color w:val="000000"/>
          <w:sz w:val="21"/>
          <w:szCs w:val="21"/>
          <w:lang w:eastAsia="en-GB"/>
        </w:rPr>
        <w:t>: Items from the interviews were rank ordered, and a final set of items was used to create a draft set of guidelines, formatted into a brochure for ease of</w:t>
      </w:r>
      <w:r>
        <w:rPr>
          <w:rFonts w:ascii="Roboto" w:eastAsia="Times New Roman" w:hAnsi="Roboto" w:cs="Times New Roman"/>
          <w:color w:val="000000"/>
          <w:sz w:val="21"/>
          <w:szCs w:val="21"/>
          <w:lang w:eastAsia="en-GB"/>
        </w:rPr>
        <w:t xml:space="preserve"> d</w:t>
      </w:r>
      <w:r w:rsidRPr="004E0963">
        <w:rPr>
          <w:rFonts w:ascii="Roboto" w:eastAsia="Times New Roman" w:hAnsi="Roboto" w:cs="Times New Roman"/>
          <w:color w:val="000000"/>
          <w:sz w:val="21"/>
          <w:szCs w:val="21"/>
          <w:lang w:eastAsia="en-GB"/>
        </w:rPr>
        <w:t>issemination. </w:t>
      </w:r>
      <w:r w:rsidRPr="004E0963">
        <w:rPr>
          <w:rFonts w:ascii="Roboto" w:eastAsia="Times New Roman" w:hAnsi="Roboto" w:cs="Times New Roman"/>
          <w:b/>
          <w:bCs/>
          <w:color w:val="000000"/>
          <w:sz w:val="21"/>
          <w:szCs w:val="21"/>
          <w:lang w:eastAsia="en-GB"/>
        </w:rPr>
        <w:t>CONCLUSIONS/IMPLICATIONS</w:t>
      </w:r>
      <w:r w:rsidRPr="004E0963">
        <w:rPr>
          <w:rFonts w:ascii="Roboto" w:eastAsia="Times New Roman" w:hAnsi="Roboto" w:cs="Times New Roman"/>
          <w:color w:val="000000"/>
          <w:sz w:val="21"/>
          <w:szCs w:val="21"/>
          <w:lang w:eastAsia="en-GB"/>
        </w:rPr>
        <w:t>: The current guidelines can serve as an initial starting point for the implementation of TIP in a variety of clinical settings. Future directions would be for these guidelines to be implemented and tested in diverse rehabilitation environments, in terms of outcome data and patient/provider satisfaction. (</w:t>
      </w:r>
      <w:proofErr w:type="spellStart"/>
      <w:r w:rsidRPr="004E0963">
        <w:rPr>
          <w:rFonts w:ascii="Roboto" w:eastAsia="Times New Roman" w:hAnsi="Roboto" w:cs="Times New Roman"/>
          <w:color w:val="000000"/>
          <w:sz w:val="21"/>
          <w:szCs w:val="21"/>
          <w:lang w:eastAsia="en-GB"/>
        </w:rPr>
        <w:t>PsycInfo</w:t>
      </w:r>
      <w:proofErr w:type="spellEnd"/>
      <w:r w:rsidRPr="004E0963">
        <w:rPr>
          <w:rFonts w:ascii="Roboto" w:eastAsia="Times New Roman" w:hAnsi="Roboto" w:cs="Times New Roman"/>
          <w:color w:val="000000"/>
          <w:sz w:val="21"/>
          <w:szCs w:val="21"/>
          <w:lang w:eastAsia="en-GB"/>
        </w:rPr>
        <w:t xml:space="preserve"> Database Record (c) 2025 APA, all rights reserved).</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lastRenderedPageBreak/>
        <w:br/>
      </w:r>
      <w:r w:rsidRPr="004E0963">
        <w:rPr>
          <w:rFonts w:ascii="Roboto" w:eastAsia="Times New Roman" w:hAnsi="Roboto" w:cs="Times New Roman"/>
          <w:b/>
          <w:bCs/>
          <w:color w:val="000000"/>
          <w:sz w:val="21"/>
          <w:szCs w:val="21"/>
          <w:lang w:eastAsia="en-GB"/>
        </w:rPr>
        <w:t>Access or request full text: </w:t>
      </w:r>
      <w:hyperlink r:id="rId45" w:tgtFrame="_blank" w:history="1">
        <w:r w:rsidRPr="004E0963">
          <w:rPr>
            <w:rFonts w:ascii="Roboto" w:eastAsia="Times New Roman" w:hAnsi="Roboto" w:cs="Times New Roman"/>
            <w:color w:val="0066CC"/>
            <w:sz w:val="21"/>
            <w:szCs w:val="21"/>
            <w:u w:val="single"/>
            <w:lang w:eastAsia="en-GB"/>
          </w:rPr>
          <w:t>https://libkey.io/10.1037/rep0000615</w:t>
        </w:r>
      </w:hyperlink>
    </w:p>
    <w:p w14:paraId="749A2D84" w14:textId="763E5CAD" w:rsidR="004E0963" w:rsidRPr="004E0963" w:rsidRDefault="004E0963" w:rsidP="004E0963">
      <w:pPr>
        <w:shd w:val="clear" w:color="auto" w:fill="FFFFFF"/>
        <w:spacing w:after="173"/>
        <w:ind w:left="450" w:hanging="450"/>
        <w:rPr>
          <w:rFonts w:ascii="Roboto" w:eastAsia="Times New Roman" w:hAnsi="Roboto" w:cs="Times New Roman"/>
          <w:color w:val="000000"/>
          <w:sz w:val="21"/>
          <w:szCs w:val="21"/>
          <w:lang w:eastAsia="en-GB"/>
        </w:rPr>
      </w:pPr>
      <w:r w:rsidRPr="004E0963">
        <w:rPr>
          <w:rFonts w:ascii="Roboto" w:eastAsia="Times New Roman" w:hAnsi="Roboto" w:cs="Times New Roman"/>
          <w:color w:val="000000"/>
          <w:sz w:val="21"/>
          <w:szCs w:val="21"/>
          <w:lang w:eastAsia="en-GB"/>
        </w:rPr>
        <w:t>3. </w:t>
      </w:r>
      <w:r w:rsidRPr="004E0963">
        <w:rPr>
          <w:rFonts w:ascii="Roboto" w:eastAsia="Times New Roman" w:hAnsi="Roboto" w:cs="Times New Roman"/>
          <w:b/>
          <w:bCs/>
          <w:color w:val="000000"/>
          <w:sz w:val="21"/>
          <w:szCs w:val="21"/>
          <w:lang w:eastAsia="en-GB"/>
        </w:rPr>
        <w:t>Avoiding Gaps After Stroke Unit Care: Impact of Direct Transition to Inpatient Neurorehabilitation on Post-stroke Outcomes.</w:t>
      </w:r>
      <w:r w:rsidRPr="004E0963">
        <w:rPr>
          <w:rFonts w:ascii="Roboto" w:eastAsia="Times New Roman" w:hAnsi="Roboto" w:cs="Times New Roman"/>
          <w:b/>
          <w:bCs/>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Authors:</w:t>
      </w:r>
      <w:r w:rsidRPr="004E0963">
        <w:rPr>
          <w:rFonts w:ascii="Roboto" w:eastAsia="Times New Roman" w:hAnsi="Roboto" w:cs="Times New Roman"/>
          <w:color w:val="000000"/>
          <w:sz w:val="21"/>
          <w:szCs w:val="21"/>
          <w:lang w:eastAsia="en-GB"/>
        </w:rPr>
        <w:t> </w:t>
      </w:r>
      <w:proofErr w:type="spellStart"/>
      <w:r w:rsidRPr="004E0963">
        <w:rPr>
          <w:rFonts w:ascii="Roboto" w:eastAsia="Times New Roman" w:hAnsi="Roboto" w:cs="Times New Roman"/>
          <w:color w:val="000000"/>
          <w:sz w:val="21"/>
          <w:szCs w:val="21"/>
          <w:lang w:eastAsia="en-GB"/>
        </w:rPr>
        <w:t>Tscherner</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Maria;Elbischger</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Julian;Hatab</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Isra;Berger</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Natalie;Haidegger</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Melanie;Fandler-Hofler</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Simon;Pichler</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Alexander;Heine</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Martin;Jagiello</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Jan;Koller</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Herbert;Lilek</w:t>
      </w:r>
      <w:proofErr w:type="spellEnd"/>
      <w:r w:rsidRPr="004E0963">
        <w:rPr>
          <w:rFonts w:ascii="Roboto" w:eastAsia="Times New Roman" w:hAnsi="Roboto" w:cs="Times New Roman"/>
          <w:color w:val="000000"/>
          <w:sz w:val="21"/>
          <w:szCs w:val="21"/>
          <w:lang w:eastAsia="en-GB"/>
        </w:rPr>
        <w:t xml:space="preserve">, </w:t>
      </w:r>
      <w:proofErr w:type="spellStart"/>
      <w:r w:rsidRPr="004E0963">
        <w:rPr>
          <w:rFonts w:ascii="Roboto" w:eastAsia="Times New Roman" w:hAnsi="Roboto" w:cs="Times New Roman"/>
          <w:color w:val="000000"/>
          <w:sz w:val="21"/>
          <w:szCs w:val="21"/>
          <w:lang w:eastAsia="en-GB"/>
        </w:rPr>
        <w:t>Stefan;Veeranki</w:t>
      </w:r>
      <w:proofErr w:type="spellEnd"/>
      <w:r w:rsidRPr="004E0963">
        <w:rPr>
          <w:rFonts w:ascii="Roboto" w:eastAsia="Times New Roman" w:hAnsi="Roboto" w:cs="Times New Roman"/>
          <w:color w:val="000000"/>
          <w:sz w:val="21"/>
          <w:szCs w:val="21"/>
          <w:lang w:eastAsia="en-GB"/>
        </w:rPr>
        <w:t xml:space="preserve">, Sai;Enzinger, </w:t>
      </w:r>
      <w:proofErr w:type="spellStart"/>
      <w:r w:rsidRPr="004E0963">
        <w:rPr>
          <w:rFonts w:ascii="Roboto" w:eastAsia="Times New Roman" w:hAnsi="Roboto" w:cs="Times New Roman"/>
          <w:color w:val="000000"/>
          <w:sz w:val="21"/>
          <w:szCs w:val="21"/>
          <w:lang w:eastAsia="en-GB"/>
        </w:rPr>
        <w:t>Christian;Gattringer</w:t>
      </w:r>
      <w:proofErr w:type="spellEnd"/>
      <w:r w:rsidRPr="004E0963">
        <w:rPr>
          <w:rFonts w:ascii="Roboto" w:eastAsia="Times New Roman" w:hAnsi="Roboto" w:cs="Times New Roman"/>
          <w:color w:val="000000"/>
          <w:sz w:val="21"/>
          <w:szCs w:val="21"/>
          <w:lang w:eastAsia="en-GB"/>
        </w:rPr>
        <w:t>, Thomas and Kneihsl, Markus</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Publication Date: </w:t>
      </w:r>
      <w:r w:rsidRPr="004E0963">
        <w:rPr>
          <w:rFonts w:ascii="Roboto" w:eastAsia="Times New Roman" w:hAnsi="Roboto" w:cs="Times New Roman"/>
          <w:color w:val="000000"/>
          <w:sz w:val="21"/>
          <w:szCs w:val="21"/>
          <w:lang w:eastAsia="en-GB"/>
        </w:rPr>
        <w:t>Sep 21 ,2025</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Journal: </w:t>
      </w:r>
      <w:r w:rsidRPr="004E0963">
        <w:rPr>
          <w:rFonts w:ascii="Roboto" w:eastAsia="Times New Roman" w:hAnsi="Roboto" w:cs="Times New Roman"/>
          <w:color w:val="000000"/>
          <w:sz w:val="21"/>
          <w:szCs w:val="21"/>
          <w:lang w:eastAsia="en-GB"/>
        </w:rPr>
        <w:t>International Journal of Stroke 17474930251384049</w:t>
      </w:r>
      <w:r>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Abstract: INTRODUCTION</w:t>
      </w:r>
      <w:r w:rsidRPr="004E0963">
        <w:rPr>
          <w:rFonts w:ascii="Roboto" w:eastAsia="Times New Roman" w:hAnsi="Roboto" w:cs="Times New Roman"/>
          <w:color w:val="000000"/>
          <w:sz w:val="21"/>
          <w:szCs w:val="21"/>
          <w:lang w:eastAsia="en-GB"/>
        </w:rPr>
        <w:t>: Early initiation of neurorehabilitation (NR) at the stroke unit is recommended and has been associated with improved outcomes. However, ensuring a direct, uninterrupted transition to subsequent inpatient NR remains challenging in clinical practice. This study investigates whether direct transfer to inpatient NR is associated with functional recovery at 3-month post-stroke. </w:t>
      </w:r>
      <w:r w:rsidRPr="004E0963">
        <w:rPr>
          <w:rFonts w:ascii="Roboto" w:eastAsia="Times New Roman" w:hAnsi="Roboto" w:cs="Times New Roman"/>
          <w:b/>
          <w:bCs/>
          <w:color w:val="000000"/>
          <w:sz w:val="21"/>
          <w:szCs w:val="21"/>
          <w:lang w:eastAsia="en-GB"/>
        </w:rPr>
        <w:t>METHODS</w:t>
      </w:r>
      <w:r w:rsidRPr="004E0963">
        <w:rPr>
          <w:rFonts w:ascii="Roboto" w:eastAsia="Times New Roman" w:hAnsi="Roboto" w:cs="Times New Roman"/>
          <w:color w:val="000000"/>
          <w:sz w:val="21"/>
          <w:szCs w:val="21"/>
          <w:lang w:eastAsia="en-GB"/>
        </w:rPr>
        <w:t>: This study is based on prospectively collected registry data of all stroke patients discharged with functional dependence (modified Rankin Scale [</w:t>
      </w:r>
      <w:proofErr w:type="spellStart"/>
      <w:r w:rsidRPr="004E0963">
        <w:rPr>
          <w:rFonts w:ascii="Roboto" w:eastAsia="Times New Roman" w:hAnsi="Roboto" w:cs="Times New Roman"/>
          <w:color w:val="000000"/>
          <w:sz w:val="21"/>
          <w:szCs w:val="21"/>
          <w:lang w:eastAsia="en-GB"/>
        </w:rPr>
        <w:t>mRS</w:t>
      </w:r>
      <w:proofErr w:type="spellEnd"/>
      <w:r w:rsidRPr="004E0963">
        <w:rPr>
          <w:rFonts w:ascii="Roboto" w:eastAsia="Times New Roman" w:hAnsi="Roboto" w:cs="Times New Roman"/>
          <w:color w:val="000000"/>
          <w:sz w:val="21"/>
          <w:szCs w:val="21"/>
          <w:lang w:eastAsia="en-GB"/>
        </w:rPr>
        <w:t xml:space="preserve">] 3-5) from five stroke units in Styria, Austria, between 2012 and 2023. All patients received standardized inpatient NR, either immediately after acute stroke care or-due to limited NR bed availability-following interim care on a general neurological ward without specialized rehabilitation. The primary outcome was a &gt;=1-point </w:t>
      </w:r>
      <w:proofErr w:type="spellStart"/>
      <w:r w:rsidRPr="004E0963">
        <w:rPr>
          <w:rFonts w:ascii="Roboto" w:eastAsia="Times New Roman" w:hAnsi="Roboto" w:cs="Times New Roman"/>
          <w:color w:val="000000"/>
          <w:sz w:val="21"/>
          <w:szCs w:val="21"/>
          <w:lang w:eastAsia="en-GB"/>
        </w:rPr>
        <w:t>mRS</w:t>
      </w:r>
      <w:proofErr w:type="spellEnd"/>
      <w:r w:rsidRPr="004E0963">
        <w:rPr>
          <w:rFonts w:ascii="Roboto" w:eastAsia="Times New Roman" w:hAnsi="Roboto" w:cs="Times New Roman"/>
          <w:color w:val="000000"/>
          <w:sz w:val="21"/>
          <w:szCs w:val="21"/>
          <w:lang w:eastAsia="en-GB"/>
        </w:rPr>
        <w:t xml:space="preserve"> improvement from discharge to the 3-month follow-up. Outcome predictors were </w:t>
      </w:r>
      <w:proofErr w:type="spellStart"/>
      <w:r w:rsidRPr="004E0963">
        <w:rPr>
          <w:rFonts w:ascii="Roboto" w:eastAsia="Times New Roman" w:hAnsi="Roboto" w:cs="Times New Roman"/>
          <w:color w:val="000000"/>
          <w:sz w:val="21"/>
          <w:szCs w:val="21"/>
          <w:lang w:eastAsia="en-GB"/>
        </w:rPr>
        <w:t>analyzed</w:t>
      </w:r>
      <w:proofErr w:type="spellEnd"/>
      <w:r w:rsidRPr="004E0963">
        <w:rPr>
          <w:rFonts w:ascii="Roboto" w:eastAsia="Times New Roman" w:hAnsi="Roboto" w:cs="Times New Roman"/>
          <w:color w:val="000000"/>
          <w:sz w:val="21"/>
          <w:szCs w:val="21"/>
          <w:lang w:eastAsia="en-GB"/>
        </w:rPr>
        <w:t xml:space="preserve"> using univariable and multivariable methods. </w:t>
      </w:r>
      <w:r w:rsidRPr="004E0963">
        <w:rPr>
          <w:rFonts w:ascii="Roboto" w:eastAsia="Times New Roman" w:hAnsi="Roboto" w:cs="Times New Roman"/>
          <w:b/>
          <w:bCs/>
          <w:color w:val="000000"/>
          <w:sz w:val="21"/>
          <w:szCs w:val="21"/>
          <w:lang w:eastAsia="en-GB"/>
        </w:rPr>
        <w:t>RESULTS</w:t>
      </w:r>
      <w:r w:rsidRPr="004E0963">
        <w:rPr>
          <w:rFonts w:ascii="Roboto" w:eastAsia="Times New Roman" w:hAnsi="Roboto" w:cs="Times New Roman"/>
          <w:color w:val="000000"/>
          <w:sz w:val="21"/>
          <w:szCs w:val="21"/>
          <w:lang w:eastAsia="en-GB"/>
        </w:rPr>
        <w:t xml:space="preserve">: Of 2,497 included patients (median age: 74 years; 44.7% female), 740 (29.6%) were directly transferred to NR after stroke unit care, while 1,757 patients (70.4%) were not, with a median delay to NR of 8 days. Improvement in </w:t>
      </w:r>
      <w:proofErr w:type="spellStart"/>
      <w:r w:rsidRPr="004E0963">
        <w:rPr>
          <w:rFonts w:ascii="Roboto" w:eastAsia="Times New Roman" w:hAnsi="Roboto" w:cs="Times New Roman"/>
          <w:color w:val="000000"/>
          <w:sz w:val="21"/>
          <w:szCs w:val="21"/>
          <w:lang w:eastAsia="en-GB"/>
        </w:rPr>
        <w:t>mRS</w:t>
      </w:r>
      <w:proofErr w:type="spellEnd"/>
      <w:r w:rsidRPr="004E0963">
        <w:rPr>
          <w:rFonts w:ascii="Roboto" w:eastAsia="Times New Roman" w:hAnsi="Roboto" w:cs="Times New Roman"/>
          <w:color w:val="000000"/>
          <w:sz w:val="21"/>
          <w:szCs w:val="21"/>
          <w:lang w:eastAsia="en-GB"/>
        </w:rPr>
        <w:t xml:space="preserve"> during follow-up was observed in 1,665 patients (66.7%). In multivariable analysis, direct transfer to NR was independently associated with </w:t>
      </w:r>
      <w:proofErr w:type="spellStart"/>
      <w:r w:rsidRPr="004E0963">
        <w:rPr>
          <w:rFonts w:ascii="Roboto" w:eastAsia="Times New Roman" w:hAnsi="Roboto" w:cs="Times New Roman"/>
          <w:color w:val="000000"/>
          <w:sz w:val="21"/>
          <w:szCs w:val="21"/>
          <w:lang w:eastAsia="en-GB"/>
        </w:rPr>
        <w:t>mRS</w:t>
      </w:r>
      <w:proofErr w:type="spellEnd"/>
      <w:r w:rsidRPr="004E0963">
        <w:rPr>
          <w:rFonts w:ascii="Roboto" w:eastAsia="Times New Roman" w:hAnsi="Roboto" w:cs="Times New Roman"/>
          <w:color w:val="000000"/>
          <w:sz w:val="21"/>
          <w:szCs w:val="21"/>
          <w:lang w:eastAsia="en-GB"/>
        </w:rPr>
        <w:t xml:space="preserve"> improvement (adjusted odds ratio 1.57, 95% CI 1.25-1.94) as were younger age, male sex, absence of prior stroke, and lower NIHSS score at discharge. </w:t>
      </w:r>
      <w:r w:rsidRPr="004E0963">
        <w:rPr>
          <w:rFonts w:ascii="Roboto" w:eastAsia="Times New Roman" w:hAnsi="Roboto" w:cs="Times New Roman"/>
          <w:b/>
          <w:bCs/>
          <w:color w:val="000000"/>
          <w:sz w:val="21"/>
          <w:szCs w:val="21"/>
          <w:lang w:eastAsia="en-GB"/>
        </w:rPr>
        <w:t>CONCLUSIONS</w:t>
      </w:r>
      <w:r w:rsidRPr="004E0963">
        <w:rPr>
          <w:rFonts w:ascii="Roboto" w:eastAsia="Times New Roman" w:hAnsi="Roboto" w:cs="Times New Roman"/>
          <w:color w:val="000000"/>
          <w:sz w:val="21"/>
          <w:szCs w:val="21"/>
          <w:lang w:eastAsia="en-GB"/>
        </w:rPr>
        <w:t>: Direct transition from the stroke unit to inpatient NR is associated with a greater likelihood of functional improvement at 3 months post-stroke. These findings support the value of implementing continuous post-stroke rehabilitation pathways.</w:t>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color w:val="000000"/>
          <w:sz w:val="21"/>
          <w:szCs w:val="21"/>
          <w:lang w:eastAsia="en-GB"/>
        </w:rPr>
        <w:br/>
      </w:r>
      <w:r w:rsidRPr="004E0963">
        <w:rPr>
          <w:rFonts w:ascii="Roboto" w:eastAsia="Times New Roman" w:hAnsi="Roboto" w:cs="Times New Roman"/>
          <w:b/>
          <w:bCs/>
          <w:color w:val="000000"/>
          <w:sz w:val="21"/>
          <w:szCs w:val="21"/>
          <w:lang w:eastAsia="en-GB"/>
        </w:rPr>
        <w:t>Access or request full text: </w:t>
      </w:r>
      <w:hyperlink r:id="rId46" w:tgtFrame="_blank" w:history="1">
        <w:r w:rsidRPr="004E0963">
          <w:rPr>
            <w:rFonts w:ascii="Roboto" w:eastAsia="Times New Roman" w:hAnsi="Roboto" w:cs="Times New Roman"/>
            <w:color w:val="0066CC"/>
            <w:sz w:val="21"/>
            <w:szCs w:val="21"/>
            <w:u w:val="single"/>
            <w:lang w:eastAsia="en-GB"/>
          </w:rPr>
          <w:t>https://libkey.io/10.1177/17474930251384049</w:t>
        </w:r>
      </w:hyperlink>
    </w:p>
    <w:p w14:paraId="11BACD00" w14:textId="59D10D73" w:rsidR="00DD6D1E" w:rsidRDefault="004E0963" w:rsidP="004E0963">
      <w:pPr>
        <w:pStyle w:val="Default"/>
        <w:rPr>
          <w:b/>
          <w:bCs/>
          <w:sz w:val="20"/>
          <w:szCs w:val="22"/>
        </w:rPr>
      </w:pPr>
      <w:r w:rsidRPr="004E0963">
        <w:rPr>
          <w:rFonts w:ascii="Roboto" w:eastAsia="Times New Roman" w:hAnsi="Roboto" w:cs="Times New Roman"/>
          <w:sz w:val="21"/>
          <w:szCs w:val="21"/>
          <w:lang w:eastAsia="en-GB"/>
        </w:rPr>
        <w:br/>
      </w:r>
      <w:r w:rsidRPr="004E0963">
        <w:rPr>
          <w:rFonts w:ascii="Roboto" w:eastAsia="Times New Roman" w:hAnsi="Roboto" w:cs="Times New Roman"/>
          <w:i/>
          <w:iCs/>
          <w:sz w:val="21"/>
          <w:szCs w:val="21"/>
          <w:shd w:val="clear" w:color="auto" w:fill="FFFFFF"/>
          <w:lang w:eastAsia="en-GB"/>
        </w:rPr>
        <w:t>You will need your </w:t>
      </w:r>
      <w:hyperlink r:id="rId47" w:history="1">
        <w:r w:rsidRPr="004E0963">
          <w:rPr>
            <w:rFonts w:ascii="Roboto" w:eastAsia="Times New Roman" w:hAnsi="Roboto" w:cs="Times New Roman"/>
            <w:i/>
            <w:iCs/>
            <w:color w:val="0066CC"/>
            <w:sz w:val="21"/>
            <w:szCs w:val="21"/>
            <w:u w:val="single"/>
            <w:lang w:eastAsia="en-GB"/>
          </w:rPr>
          <w:t xml:space="preserve">NHS </w:t>
        </w:r>
        <w:proofErr w:type="spellStart"/>
        <w:r w:rsidRPr="004E0963">
          <w:rPr>
            <w:rFonts w:ascii="Roboto" w:eastAsia="Times New Roman" w:hAnsi="Roboto" w:cs="Times New Roman"/>
            <w:i/>
            <w:iCs/>
            <w:color w:val="0066CC"/>
            <w:sz w:val="21"/>
            <w:szCs w:val="21"/>
            <w:u w:val="single"/>
            <w:lang w:eastAsia="en-GB"/>
          </w:rPr>
          <w:t>OpenAthens</w:t>
        </w:r>
        <w:proofErr w:type="spellEnd"/>
        <w:r w:rsidRPr="004E0963">
          <w:rPr>
            <w:rFonts w:ascii="Roboto" w:eastAsia="Times New Roman" w:hAnsi="Roboto" w:cs="Times New Roman"/>
            <w:i/>
            <w:iCs/>
            <w:color w:val="0066CC"/>
            <w:sz w:val="21"/>
            <w:szCs w:val="21"/>
            <w:u w:val="single"/>
            <w:lang w:eastAsia="en-GB"/>
          </w:rPr>
          <w:t xml:space="preserve"> account</w:t>
        </w:r>
      </w:hyperlink>
      <w:r w:rsidRPr="004E0963">
        <w:rPr>
          <w:rFonts w:ascii="Roboto" w:eastAsia="Times New Roman" w:hAnsi="Roboto" w:cs="Times New Roman"/>
          <w:i/>
          <w:iCs/>
          <w:sz w:val="21"/>
          <w:szCs w:val="21"/>
          <w:shd w:val="clear" w:color="auto" w:fill="FFFFFF"/>
          <w:lang w:eastAsia="en-GB"/>
        </w:rPr>
        <w:t> to access the full text of licenced content.</w:t>
      </w:r>
      <w:r w:rsidRPr="004E0963">
        <w:rPr>
          <w:rFonts w:ascii="Roboto" w:eastAsia="Times New Roman" w:hAnsi="Roboto" w:cs="Times New Roman"/>
          <w:sz w:val="21"/>
          <w:szCs w:val="21"/>
          <w:lang w:eastAsia="en-GB"/>
        </w:rPr>
        <w:br/>
      </w:r>
      <w:r w:rsidRPr="004E0963">
        <w:rPr>
          <w:rFonts w:ascii="Roboto" w:eastAsia="Times New Roman" w:hAnsi="Roboto" w:cs="Times New Roman"/>
          <w:i/>
          <w:iCs/>
          <w:sz w:val="21"/>
          <w:szCs w:val="21"/>
          <w:shd w:val="clear" w:color="auto" w:fill="FFFFFF"/>
          <w:lang w:eastAsia="en-GB"/>
        </w:rPr>
        <w:t>This service is provided to the NHS in England by NHSE Workforce, Training &amp; Education.</w:t>
      </w:r>
    </w:p>
    <w:p w14:paraId="46573252" w14:textId="77777777" w:rsidR="00DD6D1E" w:rsidRDefault="00DD6D1E" w:rsidP="00DD6D1E">
      <w:pPr>
        <w:pStyle w:val="Default"/>
        <w:rPr>
          <w:b/>
          <w:bCs/>
          <w:sz w:val="20"/>
          <w:szCs w:val="22"/>
        </w:rPr>
      </w:pPr>
    </w:p>
    <w:p w14:paraId="1A324BE8" w14:textId="77777777" w:rsidR="00DD6D1E" w:rsidRPr="00054308" w:rsidRDefault="00DD6D1E" w:rsidP="00DD6D1E">
      <w:pPr>
        <w:pStyle w:val="Default"/>
        <w:rPr>
          <w:sz w:val="20"/>
          <w:szCs w:val="22"/>
        </w:rPr>
      </w:pPr>
      <w:r w:rsidRPr="00054308">
        <w:rPr>
          <w:b/>
          <w:bCs/>
          <w:sz w:val="20"/>
          <w:szCs w:val="22"/>
        </w:rPr>
        <w:t xml:space="preserve">Sources Used: </w:t>
      </w:r>
    </w:p>
    <w:p w14:paraId="1696CE23" w14:textId="47C1F0C4" w:rsidR="00DD6D1E" w:rsidRPr="00054308" w:rsidRDefault="00DD6D1E" w:rsidP="00DD6D1E">
      <w:pPr>
        <w:pStyle w:val="Default"/>
        <w:rPr>
          <w:sz w:val="20"/>
          <w:szCs w:val="22"/>
        </w:rPr>
      </w:pPr>
      <w:r>
        <w:rPr>
          <w:sz w:val="20"/>
          <w:szCs w:val="22"/>
        </w:rPr>
        <w:t>The following databases we</w:t>
      </w:r>
      <w:r w:rsidRPr="00054308">
        <w:rPr>
          <w:sz w:val="20"/>
          <w:szCs w:val="22"/>
        </w:rPr>
        <w:t>re used in the crea</w:t>
      </w:r>
      <w:r>
        <w:rPr>
          <w:sz w:val="20"/>
          <w:szCs w:val="22"/>
        </w:rPr>
        <w:t xml:space="preserve">tion of this bulletin: </w:t>
      </w:r>
      <w:r w:rsidR="004E0963">
        <w:rPr>
          <w:sz w:val="20"/>
          <w:szCs w:val="22"/>
        </w:rPr>
        <w:t xml:space="preserve">Ovid MEDLINE, NICE, BSPRM and </w:t>
      </w:r>
      <w:proofErr w:type="spellStart"/>
      <w:r w:rsidR="004E0963">
        <w:rPr>
          <w:sz w:val="20"/>
          <w:szCs w:val="22"/>
        </w:rPr>
        <w:t>TripPro</w:t>
      </w:r>
      <w:proofErr w:type="spellEnd"/>
      <w:r w:rsidRPr="00054308">
        <w:rPr>
          <w:sz w:val="20"/>
          <w:szCs w:val="22"/>
        </w:rPr>
        <w:t xml:space="preserve">. </w:t>
      </w:r>
    </w:p>
    <w:p w14:paraId="326ED9CD" w14:textId="77777777" w:rsidR="00DD6D1E" w:rsidRPr="00054308" w:rsidRDefault="00DD6D1E" w:rsidP="00DD6D1E">
      <w:pPr>
        <w:pStyle w:val="Default"/>
        <w:rPr>
          <w:sz w:val="20"/>
          <w:szCs w:val="22"/>
        </w:rPr>
      </w:pPr>
    </w:p>
    <w:p w14:paraId="61A65314" w14:textId="77777777" w:rsidR="00DD6D1E" w:rsidRPr="00054308" w:rsidRDefault="00DD6D1E" w:rsidP="00DD6D1E">
      <w:pPr>
        <w:pStyle w:val="Default"/>
        <w:rPr>
          <w:sz w:val="20"/>
          <w:szCs w:val="22"/>
        </w:rPr>
      </w:pPr>
      <w:r w:rsidRPr="00054308">
        <w:rPr>
          <w:b/>
          <w:bCs/>
          <w:sz w:val="20"/>
          <w:szCs w:val="22"/>
        </w:rPr>
        <w:t xml:space="preserve">Disclaimer </w:t>
      </w:r>
    </w:p>
    <w:p w14:paraId="44CE1CA7" w14:textId="77777777" w:rsidR="00DD6D1E" w:rsidRPr="00054308" w:rsidRDefault="00DD6D1E" w:rsidP="00DD6D1E">
      <w:pPr>
        <w:pStyle w:val="Default"/>
        <w:rPr>
          <w:sz w:val="20"/>
          <w:szCs w:val="22"/>
        </w:rPr>
      </w:pPr>
      <w:r w:rsidRPr="00054308">
        <w:rPr>
          <w:sz w:val="20"/>
          <w:szCs w:val="22"/>
        </w:rPr>
        <w:t xml:space="preserve">Royal United Hospital Bath Healthcare Library will endeavour to use the best, most appropriate and most recent sources available to it, but accepts no liability for the information retrieved, which is subject to the content and accuracy of databases, and the limitations of the search process. The library assumes no liability for the interpretation or application of these results, which are not intended to provide advice or recommendations on patient care. </w:t>
      </w:r>
    </w:p>
    <w:p w14:paraId="322E0C35" w14:textId="77777777" w:rsidR="00DD6D1E" w:rsidRDefault="00DD6D1E"/>
    <w:sectPr w:rsidR="00DD6D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06B05"/>
    <w:multiLevelType w:val="hybridMultilevel"/>
    <w:tmpl w:val="E6308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86962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D1E"/>
    <w:rsid w:val="00026B96"/>
    <w:rsid w:val="0021117F"/>
    <w:rsid w:val="00292639"/>
    <w:rsid w:val="003877E9"/>
    <w:rsid w:val="003E7AE2"/>
    <w:rsid w:val="004E0963"/>
    <w:rsid w:val="0051077C"/>
    <w:rsid w:val="00597049"/>
    <w:rsid w:val="005C41DE"/>
    <w:rsid w:val="00653B13"/>
    <w:rsid w:val="007B49D9"/>
    <w:rsid w:val="008B2EBE"/>
    <w:rsid w:val="00B60576"/>
    <w:rsid w:val="00B610E0"/>
    <w:rsid w:val="00C3303F"/>
    <w:rsid w:val="00D3468F"/>
    <w:rsid w:val="00D67C1F"/>
    <w:rsid w:val="00DD6D1E"/>
    <w:rsid w:val="00E530FB"/>
    <w:rsid w:val="00F95BB2"/>
    <w:rsid w:val="00FF6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C955"/>
  <w15:chartTrackingRefBased/>
  <w15:docId w15:val="{73159F7F-958E-47BB-96BF-1C338BDE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68F"/>
    <w:pPr>
      <w:spacing w:after="0" w:line="240" w:lineRule="auto"/>
    </w:pPr>
    <w:rPr>
      <w:rFonts w:ascii="Arial" w:hAnsi="Arial" w:cs="Calibri"/>
      <w:sz w:val="24"/>
    </w:rPr>
  </w:style>
  <w:style w:type="paragraph" w:styleId="Heading1">
    <w:name w:val="heading 1"/>
    <w:basedOn w:val="Normal"/>
    <w:next w:val="Normal"/>
    <w:link w:val="Heading1Char"/>
    <w:uiPriority w:val="9"/>
    <w:qFormat/>
    <w:rsid w:val="003E7AE2"/>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semiHidden/>
    <w:unhideWhenUsed/>
    <w:qFormat/>
    <w:rsid w:val="004E096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6D1E"/>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DD6D1E"/>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D6D1E"/>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3E7AE2"/>
    <w:rPr>
      <w:rFonts w:ascii="Arial" w:eastAsiaTheme="majorEastAsia" w:hAnsi="Arial" w:cstheme="majorBidi"/>
      <w:b/>
      <w:color w:val="2E74B5" w:themeColor="accent1" w:themeShade="BF"/>
      <w:sz w:val="32"/>
      <w:szCs w:val="32"/>
    </w:rPr>
  </w:style>
  <w:style w:type="paragraph" w:styleId="TOCHeading">
    <w:name w:val="TOC Heading"/>
    <w:basedOn w:val="Heading1"/>
    <w:next w:val="Normal"/>
    <w:uiPriority w:val="39"/>
    <w:unhideWhenUsed/>
    <w:qFormat/>
    <w:rsid w:val="00653B13"/>
    <w:pPr>
      <w:spacing w:line="259" w:lineRule="auto"/>
      <w:outlineLvl w:val="9"/>
    </w:pPr>
    <w:rPr>
      <w:rFonts w:asciiTheme="majorHAnsi" w:hAnsiTheme="majorHAnsi"/>
      <w:b w:val="0"/>
      <w:lang w:val="en-US"/>
    </w:rPr>
  </w:style>
  <w:style w:type="paragraph" w:styleId="TOC1">
    <w:name w:val="toc 1"/>
    <w:basedOn w:val="Normal"/>
    <w:next w:val="Normal"/>
    <w:autoRedefine/>
    <w:uiPriority w:val="39"/>
    <w:unhideWhenUsed/>
    <w:rsid w:val="00653B13"/>
    <w:pPr>
      <w:spacing w:after="100"/>
    </w:pPr>
  </w:style>
  <w:style w:type="character" w:styleId="Hyperlink">
    <w:name w:val="Hyperlink"/>
    <w:basedOn w:val="DefaultParagraphFont"/>
    <w:uiPriority w:val="99"/>
    <w:unhideWhenUsed/>
    <w:rsid w:val="00653B13"/>
    <w:rPr>
      <w:color w:val="0563C1" w:themeColor="hyperlink"/>
      <w:u w:val="single"/>
    </w:rPr>
  </w:style>
  <w:style w:type="character" w:customStyle="1" w:styleId="Heading2Char">
    <w:name w:val="Heading 2 Char"/>
    <w:basedOn w:val="DefaultParagraphFont"/>
    <w:link w:val="Heading2"/>
    <w:uiPriority w:val="9"/>
    <w:rsid w:val="004E0963"/>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4E0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1795">
      <w:bodyDiv w:val="1"/>
      <w:marLeft w:val="0"/>
      <w:marRight w:val="0"/>
      <w:marTop w:val="0"/>
      <w:marBottom w:val="0"/>
      <w:divBdr>
        <w:top w:val="none" w:sz="0" w:space="0" w:color="auto"/>
        <w:left w:val="none" w:sz="0" w:space="0" w:color="auto"/>
        <w:bottom w:val="none" w:sz="0" w:space="0" w:color="auto"/>
        <w:right w:val="none" w:sz="0" w:space="0" w:color="auto"/>
      </w:divBdr>
    </w:div>
    <w:div w:id="197474685">
      <w:bodyDiv w:val="1"/>
      <w:marLeft w:val="0"/>
      <w:marRight w:val="0"/>
      <w:marTop w:val="0"/>
      <w:marBottom w:val="0"/>
      <w:divBdr>
        <w:top w:val="none" w:sz="0" w:space="0" w:color="auto"/>
        <w:left w:val="none" w:sz="0" w:space="0" w:color="auto"/>
        <w:bottom w:val="none" w:sz="0" w:space="0" w:color="auto"/>
        <w:right w:val="none" w:sz="0" w:space="0" w:color="auto"/>
      </w:divBdr>
    </w:div>
    <w:div w:id="261381521">
      <w:bodyDiv w:val="1"/>
      <w:marLeft w:val="0"/>
      <w:marRight w:val="0"/>
      <w:marTop w:val="0"/>
      <w:marBottom w:val="0"/>
      <w:divBdr>
        <w:top w:val="none" w:sz="0" w:space="0" w:color="auto"/>
        <w:left w:val="none" w:sz="0" w:space="0" w:color="auto"/>
        <w:bottom w:val="none" w:sz="0" w:space="0" w:color="auto"/>
        <w:right w:val="none" w:sz="0" w:space="0" w:color="auto"/>
      </w:divBdr>
    </w:div>
    <w:div w:id="285546910">
      <w:bodyDiv w:val="1"/>
      <w:marLeft w:val="0"/>
      <w:marRight w:val="0"/>
      <w:marTop w:val="0"/>
      <w:marBottom w:val="0"/>
      <w:divBdr>
        <w:top w:val="none" w:sz="0" w:space="0" w:color="auto"/>
        <w:left w:val="none" w:sz="0" w:space="0" w:color="auto"/>
        <w:bottom w:val="none" w:sz="0" w:space="0" w:color="auto"/>
        <w:right w:val="none" w:sz="0" w:space="0" w:color="auto"/>
      </w:divBdr>
    </w:div>
    <w:div w:id="307590796">
      <w:bodyDiv w:val="1"/>
      <w:marLeft w:val="0"/>
      <w:marRight w:val="0"/>
      <w:marTop w:val="0"/>
      <w:marBottom w:val="0"/>
      <w:divBdr>
        <w:top w:val="none" w:sz="0" w:space="0" w:color="auto"/>
        <w:left w:val="none" w:sz="0" w:space="0" w:color="auto"/>
        <w:bottom w:val="none" w:sz="0" w:space="0" w:color="auto"/>
        <w:right w:val="none" w:sz="0" w:space="0" w:color="auto"/>
      </w:divBdr>
    </w:div>
    <w:div w:id="363139342">
      <w:bodyDiv w:val="1"/>
      <w:marLeft w:val="0"/>
      <w:marRight w:val="0"/>
      <w:marTop w:val="0"/>
      <w:marBottom w:val="0"/>
      <w:divBdr>
        <w:top w:val="none" w:sz="0" w:space="0" w:color="auto"/>
        <w:left w:val="none" w:sz="0" w:space="0" w:color="auto"/>
        <w:bottom w:val="none" w:sz="0" w:space="0" w:color="auto"/>
        <w:right w:val="none" w:sz="0" w:space="0" w:color="auto"/>
      </w:divBdr>
    </w:div>
    <w:div w:id="516308421">
      <w:bodyDiv w:val="1"/>
      <w:marLeft w:val="0"/>
      <w:marRight w:val="0"/>
      <w:marTop w:val="0"/>
      <w:marBottom w:val="0"/>
      <w:divBdr>
        <w:top w:val="none" w:sz="0" w:space="0" w:color="auto"/>
        <w:left w:val="none" w:sz="0" w:space="0" w:color="auto"/>
        <w:bottom w:val="none" w:sz="0" w:space="0" w:color="auto"/>
        <w:right w:val="none" w:sz="0" w:space="0" w:color="auto"/>
      </w:divBdr>
    </w:div>
    <w:div w:id="525675480">
      <w:bodyDiv w:val="1"/>
      <w:marLeft w:val="0"/>
      <w:marRight w:val="0"/>
      <w:marTop w:val="0"/>
      <w:marBottom w:val="0"/>
      <w:divBdr>
        <w:top w:val="none" w:sz="0" w:space="0" w:color="auto"/>
        <w:left w:val="none" w:sz="0" w:space="0" w:color="auto"/>
        <w:bottom w:val="none" w:sz="0" w:space="0" w:color="auto"/>
        <w:right w:val="none" w:sz="0" w:space="0" w:color="auto"/>
      </w:divBdr>
    </w:div>
    <w:div w:id="539325181">
      <w:bodyDiv w:val="1"/>
      <w:marLeft w:val="0"/>
      <w:marRight w:val="0"/>
      <w:marTop w:val="0"/>
      <w:marBottom w:val="0"/>
      <w:divBdr>
        <w:top w:val="none" w:sz="0" w:space="0" w:color="auto"/>
        <w:left w:val="none" w:sz="0" w:space="0" w:color="auto"/>
        <w:bottom w:val="none" w:sz="0" w:space="0" w:color="auto"/>
        <w:right w:val="none" w:sz="0" w:space="0" w:color="auto"/>
      </w:divBdr>
    </w:div>
    <w:div w:id="1022827300">
      <w:bodyDiv w:val="1"/>
      <w:marLeft w:val="0"/>
      <w:marRight w:val="0"/>
      <w:marTop w:val="0"/>
      <w:marBottom w:val="0"/>
      <w:divBdr>
        <w:top w:val="none" w:sz="0" w:space="0" w:color="auto"/>
        <w:left w:val="none" w:sz="0" w:space="0" w:color="auto"/>
        <w:bottom w:val="none" w:sz="0" w:space="0" w:color="auto"/>
        <w:right w:val="none" w:sz="0" w:space="0" w:color="auto"/>
      </w:divBdr>
    </w:div>
    <w:div w:id="1365252057">
      <w:bodyDiv w:val="1"/>
      <w:marLeft w:val="0"/>
      <w:marRight w:val="0"/>
      <w:marTop w:val="0"/>
      <w:marBottom w:val="0"/>
      <w:divBdr>
        <w:top w:val="none" w:sz="0" w:space="0" w:color="auto"/>
        <w:left w:val="none" w:sz="0" w:space="0" w:color="auto"/>
        <w:bottom w:val="none" w:sz="0" w:space="0" w:color="auto"/>
        <w:right w:val="none" w:sz="0" w:space="0" w:color="auto"/>
      </w:divBdr>
    </w:div>
    <w:div w:id="1499076089">
      <w:bodyDiv w:val="1"/>
      <w:marLeft w:val="0"/>
      <w:marRight w:val="0"/>
      <w:marTop w:val="0"/>
      <w:marBottom w:val="0"/>
      <w:divBdr>
        <w:top w:val="none" w:sz="0" w:space="0" w:color="auto"/>
        <w:left w:val="none" w:sz="0" w:space="0" w:color="auto"/>
        <w:bottom w:val="none" w:sz="0" w:space="0" w:color="auto"/>
        <w:right w:val="none" w:sz="0" w:space="0" w:color="auto"/>
      </w:divBdr>
    </w:div>
    <w:div w:id="1557204007">
      <w:bodyDiv w:val="1"/>
      <w:marLeft w:val="0"/>
      <w:marRight w:val="0"/>
      <w:marTop w:val="0"/>
      <w:marBottom w:val="0"/>
      <w:divBdr>
        <w:top w:val="none" w:sz="0" w:space="0" w:color="auto"/>
        <w:left w:val="none" w:sz="0" w:space="0" w:color="auto"/>
        <w:bottom w:val="none" w:sz="0" w:space="0" w:color="auto"/>
        <w:right w:val="none" w:sz="0" w:space="0" w:color="auto"/>
      </w:divBdr>
    </w:div>
    <w:div w:id="1608080461">
      <w:bodyDiv w:val="1"/>
      <w:marLeft w:val="0"/>
      <w:marRight w:val="0"/>
      <w:marTop w:val="0"/>
      <w:marBottom w:val="0"/>
      <w:divBdr>
        <w:top w:val="none" w:sz="0" w:space="0" w:color="auto"/>
        <w:left w:val="none" w:sz="0" w:space="0" w:color="auto"/>
        <w:bottom w:val="none" w:sz="0" w:space="0" w:color="auto"/>
        <w:right w:val="none" w:sz="0" w:space="0" w:color="auto"/>
      </w:divBdr>
    </w:div>
    <w:div w:id="1798252189">
      <w:bodyDiv w:val="1"/>
      <w:marLeft w:val="0"/>
      <w:marRight w:val="0"/>
      <w:marTop w:val="0"/>
      <w:marBottom w:val="0"/>
      <w:divBdr>
        <w:top w:val="none" w:sz="0" w:space="0" w:color="auto"/>
        <w:left w:val="none" w:sz="0" w:space="0" w:color="auto"/>
        <w:bottom w:val="none" w:sz="0" w:space="0" w:color="auto"/>
        <w:right w:val="none" w:sz="0" w:space="0" w:color="auto"/>
      </w:divBdr>
    </w:div>
    <w:div w:id="1845053686">
      <w:bodyDiv w:val="1"/>
      <w:marLeft w:val="0"/>
      <w:marRight w:val="0"/>
      <w:marTop w:val="0"/>
      <w:marBottom w:val="0"/>
      <w:divBdr>
        <w:top w:val="none" w:sz="0" w:space="0" w:color="auto"/>
        <w:left w:val="none" w:sz="0" w:space="0" w:color="auto"/>
        <w:bottom w:val="none" w:sz="0" w:space="0" w:color="auto"/>
        <w:right w:val="none" w:sz="0" w:space="0" w:color="auto"/>
      </w:divBdr>
    </w:div>
    <w:div w:id="1985811546">
      <w:bodyDiv w:val="1"/>
      <w:marLeft w:val="0"/>
      <w:marRight w:val="0"/>
      <w:marTop w:val="0"/>
      <w:marBottom w:val="0"/>
      <w:divBdr>
        <w:top w:val="none" w:sz="0" w:space="0" w:color="auto"/>
        <w:left w:val="none" w:sz="0" w:space="0" w:color="auto"/>
        <w:bottom w:val="none" w:sz="0" w:space="0" w:color="auto"/>
        <w:right w:val="none" w:sz="0" w:space="0" w:color="auto"/>
      </w:divBdr>
    </w:div>
    <w:div w:id="207415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key.io/10.1044/2025_JSLHR-25-00101" TargetMode="External"/><Relationship Id="rId18" Type="http://schemas.openxmlformats.org/officeDocument/2006/relationships/hyperlink" Target="https://libkey.io/10.1177/02692155251375667" TargetMode="External"/><Relationship Id="rId26" Type="http://schemas.openxmlformats.org/officeDocument/2006/relationships/hyperlink" Target="https://libkey.io/10.1007/s00455-025-10849-9" TargetMode="External"/><Relationship Id="rId39" Type="http://schemas.openxmlformats.org/officeDocument/2006/relationships/hyperlink" Target="https://libkey.io/10.1080/00016489.2025.2561920" TargetMode="External"/><Relationship Id="rId21" Type="http://schemas.openxmlformats.org/officeDocument/2006/relationships/hyperlink" Target="https://libkey.io/10.1044/2025_JSLHR-24-00862" TargetMode="External"/><Relationship Id="rId34" Type="http://schemas.openxmlformats.org/officeDocument/2006/relationships/hyperlink" Target="https://libkey.io/10.1007/s00455-025-10876-6" TargetMode="External"/><Relationship Id="rId42" Type="http://schemas.openxmlformats.org/officeDocument/2006/relationships/hyperlink" Target="https://libkey.io/10.1007/s00455-025-10869-5" TargetMode="External"/><Relationship Id="rId47" Type="http://schemas.openxmlformats.org/officeDocument/2006/relationships/hyperlink" Target="https://openathens.nice.org.uk/" TargetMode="External"/><Relationship Id="rId7" Type="http://schemas.openxmlformats.org/officeDocument/2006/relationships/hyperlink" Target="https://doi.org/10.23641/asha.30066892." TargetMode="External"/><Relationship Id="rId2" Type="http://schemas.openxmlformats.org/officeDocument/2006/relationships/numbering" Target="numbering.xml"/><Relationship Id="rId16" Type="http://schemas.openxmlformats.org/officeDocument/2006/relationships/hyperlink" Target="https://libkey.io/10.1044/2025_AJSLP-24-00418" TargetMode="External"/><Relationship Id="rId29" Type="http://schemas.openxmlformats.org/officeDocument/2006/relationships/hyperlink" Target="https://libkey.io/10.1044/2025_AJSLP-25-00122" TargetMode="External"/><Relationship Id="rId11" Type="http://schemas.openxmlformats.org/officeDocument/2006/relationships/hyperlink" Target="https://libkey.io/10.1080/02687038.2025.2561681" TargetMode="External"/><Relationship Id="rId24" Type="http://schemas.openxmlformats.org/officeDocument/2006/relationships/hyperlink" Target="https://libkey.io/10.1097/SCS.0000000000011984" TargetMode="External"/><Relationship Id="rId32" Type="http://schemas.openxmlformats.org/officeDocument/2006/relationships/hyperlink" Target="https://libkey.io/10.1002/hed.70024" TargetMode="External"/><Relationship Id="rId37" Type="http://schemas.openxmlformats.org/officeDocument/2006/relationships/hyperlink" Target="https://doi.org/10.23641/asha.30104632." TargetMode="External"/><Relationship Id="rId40" Type="http://schemas.openxmlformats.org/officeDocument/2006/relationships/hyperlink" Target="https://openathens.nice.org.uk/" TargetMode="External"/><Relationship Id="rId45" Type="http://schemas.openxmlformats.org/officeDocument/2006/relationships/hyperlink" Target="https://libkey.io/10.1037/rep0000615" TargetMode="External"/><Relationship Id="rId5" Type="http://schemas.openxmlformats.org/officeDocument/2006/relationships/webSettings" Target="webSettings.xml"/><Relationship Id="rId15" Type="http://schemas.openxmlformats.org/officeDocument/2006/relationships/hyperlink" Target="https://doi.org/10.23641/asha.30080956." TargetMode="External"/><Relationship Id="rId23" Type="http://schemas.openxmlformats.org/officeDocument/2006/relationships/hyperlink" Target="https://libkey.io/10.1007/s00455-025-10884-6" TargetMode="External"/><Relationship Id="rId28" Type="http://schemas.openxmlformats.org/officeDocument/2006/relationships/hyperlink" Target="https://libkey.io/10.1016/j.jamda.2025.105860" TargetMode="External"/><Relationship Id="rId36" Type="http://schemas.openxmlformats.org/officeDocument/2006/relationships/hyperlink" Target="https://openathens.nice.org.uk/" TargetMode="External"/><Relationship Id="rId49" Type="http://schemas.openxmlformats.org/officeDocument/2006/relationships/theme" Target="theme/theme1.xml"/><Relationship Id="rId10" Type="http://schemas.openxmlformats.org/officeDocument/2006/relationships/hyperlink" Target="https://libkey.io/10.2174/0115672050395866250904102045" TargetMode="External"/><Relationship Id="rId19" Type="http://schemas.openxmlformats.org/officeDocument/2006/relationships/hyperlink" Target="https://libkey.io/10.1016/j.neuropsychologia.2025.109271" TargetMode="External"/><Relationship Id="rId31" Type="http://schemas.openxmlformats.org/officeDocument/2006/relationships/hyperlink" Target="https://libkey.io/10.1016/j.clnesp.2025.09.009" TargetMode="External"/><Relationship Id="rId44" Type="http://schemas.openxmlformats.org/officeDocument/2006/relationships/hyperlink" Target="https://libkey.io/10.1080/09638288.2025.2570855" TargetMode="External"/><Relationship Id="rId4" Type="http://schemas.openxmlformats.org/officeDocument/2006/relationships/settings" Target="settings.xml"/><Relationship Id="rId9" Type="http://schemas.openxmlformats.org/officeDocument/2006/relationships/hyperlink" Target="https://refworks.proquest.com/epub@benthamscience.net" TargetMode="External"/><Relationship Id="rId14" Type="http://schemas.openxmlformats.org/officeDocument/2006/relationships/hyperlink" Target="https://libkey.io/10.1080/09638288.2025.2566276" TargetMode="External"/><Relationship Id="rId22" Type="http://schemas.openxmlformats.org/officeDocument/2006/relationships/hyperlink" Target="https://openathens.nice.org.uk/" TargetMode="External"/><Relationship Id="rId27" Type="http://schemas.openxmlformats.org/officeDocument/2006/relationships/hyperlink" Target="https://libkey.io/10.1007/s00455-025-10869-5" TargetMode="External"/><Relationship Id="rId30" Type="http://schemas.openxmlformats.org/officeDocument/2006/relationships/hyperlink" Target="https://libkey.io/10.1007/s00380-025-02606-7" TargetMode="External"/><Relationship Id="rId35" Type="http://schemas.openxmlformats.org/officeDocument/2006/relationships/hyperlink" Target="https://libkey.io/10.1080/00016489.2025.2561911" TargetMode="External"/><Relationship Id="rId43" Type="http://schemas.openxmlformats.org/officeDocument/2006/relationships/hyperlink" Target="https://openathens.nice.org.uk/" TargetMode="External"/><Relationship Id="rId48" Type="http://schemas.openxmlformats.org/officeDocument/2006/relationships/fontTable" Target="fontTable.xml"/><Relationship Id="rId8" Type="http://schemas.openxmlformats.org/officeDocument/2006/relationships/hyperlink" Target="https://libkey.io/10.1044/2025_JSLHR-24-00866" TargetMode="External"/><Relationship Id="rId3" Type="http://schemas.openxmlformats.org/officeDocument/2006/relationships/styles" Target="styles.xml"/><Relationship Id="rId12" Type="http://schemas.openxmlformats.org/officeDocument/2006/relationships/hyperlink" Target="https://doi.org/10.23641/asha.30213520." TargetMode="External"/><Relationship Id="rId17" Type="http://schemas.openxmlformats.org/officeDocument/2006/relationships/hyperlink" Target="https://libkey.io/10.1080/09638288.2025.2546077" TargetMode="External"/><Relationship Id="rId25" Type="http://schemas.openxmlformats.org/officeDocument/2006/relationships/hyperlink" Target="https://libkey.io/10.1080/17549507.2025.2555248" TargetMode="External"/><Relationship Id="rId33" Type="http://schemas.openxmlformats.org/officeDocument/2006/relationships/hyperlink" Target="https://libkey.io/10.1007/s00455-025-10883-7" TargetMode="External"/><Relationship Id="rId38" Type="http://schemas.openxmlformats.org/officeDocument/2006/relationships/hyperlink" Target="https://libkey.io/10.1044/2025_AJSLP-25-00092" TargetMode="External"/><Relationship Id="rId46" Type="http://schemas.openxmlformats.org/officeDocument/2006/relationships/hyperlink" Target="https://libkey.io/10.1177/17474930251384049" TargetMode="External"/><Relationship Id="rId20" Type="http://schemas.openxmlformats.org/officeDocument/2006/relationships/hyperlink" Target="https://openathens.nice.org.uk/" TargetMode="External"/><Relationship Id="rId41" Type="http://schemas.openxmlformats.org/officeDocument/2006/relationships/hyperlink" Target="https://libkey.io/10.1007/s00455-025-10884-6" TargetMode="External"/><Relationship Id="rId1" Type="http://schemas.openxmlformats.org/officeDocument/2006/relationships/customXml" Target="../customXml/item1.xml"/><Relationship Id="rId6" Type="http://schemas.openxmlformats.org/officeDocument/2006/relationships/hyperlink" Target="https://gbr01.safelinks.protection.outlook.com/?url=https%3A%2F%2Fforms.office.com%2Fe%2FHyiSXfDaYV&amp;data=05%7C02%7Cruh-tr.library%40nhs.net%7C2f379cb5e2a347cb023108dd49c9e10f%7C37c354b285b047f5b22207b48d774ee3%7C0%7C0%7C638747853900222040%7CUnknown%7CTWFpbGZsb3d8eyJFbXB0eU1hcGkiOnRydWUsIlYiOiIwLjAuMDAwMCIsIlAiOiJXaW4zMiIsIkFOIjoiTWFpbCIsIldUIjoyfQ%3D%3D%7C0%7C%7C%7C&amp;sdata=vRCRUTP%2BTxSNmofg6hSXz9C9tXw13XOj3jvNGgToK3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D07BE-8FC7-403F-A72B-33177A94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11214</Words>
  <Characters>63922</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Royal United Hospital Bath NHS Trust</Company>
  <LinksUpToDate>false</LinksUpToDate>
  <CharactersWithSpaces>74987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Garces-Bovett, Camila</dc:creator>
  <cp:keywords/>
  <dc:description/>
  <cp:lastModifiedBy>GARCES-BOVETT, Camila (ROYAL UNITED HOSPITALS BATH NHS FOUNDATION TRUST)</cp:lastModifiedBy>
  <cp:revision>4</cp:revision>
  <dcterms:created xsi:type="dcterms:W3CDTF">2025-10-09T08:59:00Z</dcterms:created>
  <dcterms:modified xsi:type="dcterms:W3CDTF">2025-10-10T11:19:00Z</dcterms:modified>
</cp:coreProperties>
</file>