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EE4D" w14:textId="2C97C1C4" w:rsidR="00D67C1F" w:rsidRDefault="00DD6D1E" w:rsidP="00DD6D1E">
      <w:pPr>
        <w:pStyle w:val="Title"/>
      </w:pPr>
      <w:r>
        <w:t>RUH</w:t>
      </w:r>
      <w:r w:rsidR="00C3303F">
        <w:t xml:space="preserve"> bulletin:</w:t>
      </w:r>
      <w:r>
        <w:t xml:space="preserve"> </w:t>
      </w:r>
      <w:r w:rsidR="003E7AE2">
        <w:t xml:space="preserve">Adult </w:t>
      </w:r>
      <w:r w:rsidR="00C3303F">
        <w:t>d</w:t>
      </w:r>
      <w:r w:rsidR="003E7AE2">
        <w:t>ysphagia</w:t>
      </w:r>
      <w:r w:rsidR="00597049">
        <w:t xml:space="preserve"> </w:t>
      </w:r>
      <w:r w:rsidR="00B60576">
        <w:t>and other topics</w:t>
      </w:r>
      <w:r>
        <w:t xml:space="preserve">: </w:t>
      </w:r>
      <w:r w:rsidR="0050212E">
        <w:t>August</w:t>
      </w:r>
      <w:r>
        <w:t xml:space="preserve"> 202</w:t>
      </w:r>
      <w:r w:rsidR="00E62DDC">
        <w:t>6</w:t>
      </w:r>
    </w:p>
    <w:p w14:paraId="43EC8604" w14:textId="13ECF9AB" w:rsidR="00191F51" w:rsidRPr="00C76319" w:rsidRDefault="00191F51" w:rsidP="00191F51">
      <w:pPr>
        <w:rPr>
          <w:rFonts w:eastAsia="Calibri"/>
          <w:b/>
        </w:rPr>
      </w:pPr>
      <w:r>
        <w:rPr>
          <w:rFonts w:eastAsia="Calibri"/>
          <w:b/>
          <w:color w:val="4472C4" w:themeColor="accent5"/>
          <w:sz w:val="28"/>
          <w:szCs w:val="24"/>
        </w:rPr>
        <w:br/>
        <w:t>T</w:t>
      </w:r>
      <w:r w:rsidRPr="00C76319">
        <w:rPr>
          <w:rFonts w:eastAsia="Calibri"/>
          <w:b/>
          <w:color w:val="4472C4" w:themeColor="accent5"/>
          <w:sz w:val="28"/>
          <w:szCs w:val="24"/>
        </w:rPr>
        <w:t xml:space="preserve">raining </w:t>
      </w:r>
      <w:r>
        <w:rPr>
          <w:rFonts w:eastAsia="Calibri"/>
          <w:b/>
          <w:color w:val="4472C4" w:themeColor="accent5"/>
          <w:sz w:val="28"/>
          <w:szCs w:val="24"/>
        </w:rPr>
        <w:t xml:space="preserve">sessions for </w:t>
      </w:r>
      <w:r w:rsidRPr="00191F51">
        <w:rPr>
          <w:rFonts w:eastAsia="Calibri"/>
          <w:b/>
          <w:color w:val="4472C4" w:themeColor="accent5"/>
          <w:sz w:val="28"/>
          <w:szCs w:val="24"/>
          <w:u w:val="single"/>
        </w:rPr>
        <w:t>BSW Staff</w:t>
      </w:r>
      <w:r>
        <w:rPr>
          <w:rFonts w:eastAsia="Calibri"/>
          <w:b/>
          <w:color w:val="4472C4" w:themeColor="accent5"/>
          <w:sz w:val="28"/>
          <w:szCs w:val="24"/>
        </w:rPr>
        <w:t xml:space="preserve"> on</w:t>
      </w:r>
      <w:r w:rsidRPr="00C76319">
        <w:rPr>
          <w:rFonts w:eastAsia="Calibri"/>
          <w:b/>
          <w:color w:val="4472C4" w:themeColor="accent5"/>
          <w:sz w:val="28"/>
          <w:szCs w:val="24"/>
        </w:rPr>
        <w:t xml:space="preserve"> Teams:</w:t>
      </w:r>
      <w:r w:rsidRPr="00C76319">
        <w:rPr>
          <w:rFonts w:eastAsia="Calibri"/>
          <w:b/>
          <w:color w:val="4472C4" w:themeColor="accent5"/>
          <w:sz w:val="28"/>
          <w:szCs w:val="24"/>
        </w:rPr>
        <w:br/>
      </w:r>
    </w:p>
    <w:p w14:paraId="63DE1334" w14:textId="77777777" w:rsidR="00191F51" w:rsidRPr="002A2074" w:rsidRDefault="00191F51" w:rsidP="00191F51">
      <w:pPr>
        <w:numPr>
          <w:ilvl w:val="0"/>
          <w:numId w:val="1"/>
        </w:numPr>
        <w:spacing w:before="80" w:after="80" w:line="259" w:lineRule="auto"/>
        <w:rPr>
          <w:szCs w:val="24"/>
        </w:rPr>
      </w:pPr>
      <w:r w:rsidRPr="002A2074">
        <w:rPr>
          <w:b/>
          <w:color w:val="000000"/>
          <w:szCs w:val="24"/>
        </w:rPr>
        <w:t>Bitesize searching databases for evidence: a quick guide to help you develop your literature searching skills</w:t>
      </w:r>
      <w:r w:rsidRPr="002A2074">
        <w:rPr>
          <w:color w:val="000000"/>
          <w:szCs w:val="24"/>
        </w:rPr>
        <w:br/>
        <w:t>45 minutes. Learn how to transform a question into a search strategy, and how to find the best evidence in a database.</w:t>
      </w:r>
    </w:p>
    <w:p w14:paraId="5993A43B" w14:textId="65BEC06D" w:rsidR="00191F51" w:rsidRPr="002A2074" w:rsidRDefault="00191F51" w:rsidP="00191F51">
      <w:pPr>
        <w:spacing w:before="80" w:after="80"/>
        <w:ind w:left="720"/>
        <w:contextualSpacing/>
        <w:rPr>
          <w:rFonts w:eastAsia="Arial"/>
          <w:b/>
          <w:bCs/>
          <w:color w:val="A20000"/>
          <w:szCs w:val="24"/>
        </w:rPr>
      </w:pPr>
      <w:r w:rsidRPr="002A2074">
        <w:rPr>
          <w:rFonts w:eastAsia="Arial"/>
          <w:b/>
          <w:color w:val="A20000"/>
          <w:szCs w:val="24"/>
        </w:rPr>
        <w:t>Next sessions:</w:t>
      </w:r>
      <w:r>
        <w:rPr>
          <w:rFonts w:eastAsia="Arial"/>
          <w:b/>
          <w:color w:val="A20000"/>
          <w:szCs w:val="24"/>
        </w:rPr>
        <w:t xml:space="preserve"> 29</w:t>
      </w:r>
      <w:r w:rsidRPr="00191F51">
        <w:rPr>
          <w:rFonts w:eastAsia="Arial"/>
          <w:b/>
          <w:color w:val="A20000"/>
          <w:szCs w:val="24"/>
          <w:vertAlign w:val="superscript"/>
        </w:rPr>
        <w:t>th</w:t>
      </w:r>
      <w:r>
        <w:rPr>
          <w:rFonts w:eastAsia="Arial"/>
          <w:b/>
          <w:color w:val="A20000"/>
          <w:szCs w:val="24"/>
        </w:rPr>
        <w:t xml:space="preserve"> September @2pm and 7</w:t>
      </w:r>
      <w:r w:rsidRPr="00191F51">
        <w:rPr>
          <w:rFonts w:eastAsia="Arial"/>
          <w:b/>
          <w:color w:val="A20000"/>
          <w:szCs w:val="24"/>
          <w:vertAlign w:val="superscript"/>
        </w:rPr>
        <w:t>th</w:t>
      </w:r>
      <w:r>
        <w:rPr>
          <w:rFonts w:eastAsia="Arial"/>
          <w:b/>
          <w:color w:val="A20000"/>
          <w:szCs w:val="24"/>
        </w:rPr>
        <w:t xml:space="preserve"> October @3pm</w:t>
      </w:r>
      <w:r>
        <w:rPr>
          <w:rFonts w:eastAsia="Arial"/>
          <w:b/>
          <w:color w:val="A20000"/>
          <w:szCs w:val="24"/>
        </w:rPr>
        <w:t>.</w:t>
      </w:r>
    </w:p>
    <w:p w14:paraId="10104C52" w14:textId="77777777" w:rsidR="00191F51" w:rsidRPr="002A2074" w:rsidRDefault="00191F51" w:rsidP="00191F51">
      <w:pPr>
        <w:spacing w:before="80" w:after="80"/>
        <w:ind w:left="720"/>
        <w:contextualSpacing/>
        <w:rPr>
          <w:rFonts w:eastAsia="Arial"/>
          <w:color w:val="A20000"/>
          <w:szCs w:val="24"/>
        </w:rPr>
      </w:pPr>
    </w:p>
    <w:p w14:paraId="5C4C93F2" w14:textId="77777777" w:rsidR="00191F51" w:rsidRPr="002A2074" w:rsidRDefault="00191F51" w:rsidP="00191F51">
      <w:pPr>
        <w:numPr>
          <w:ilvl w:val="0"/>
          <w:numId w:val="1"/>
        </w:numPr>
        <w:spacing w:before="80" w:after="80" w:line="259" w:lineRule="auto"/>
        <w:rPr>
          <w:szCs w:val="24"/>
        </w:rPr>
      </w:pPr>
      <w:r w:rsidRPr="002A2074">
        <w:rPr>
          <w:b/>
          <w:color w:val="000000"/>
          <w:szCs w:val="24"/>
        </w:rPr>
        <w:t>Simple and painless evidence into practice (BMJ Best Practice and the LKS Hub)</w:t>
      </w:r>
      <w:r w:rsidRPr="002A2074">
        <w:rPr>
          <w:color w:val="000000"/>
          <w:szCs w:val="24"/>
        </w:rPr>
        <w:br/>
        <w:t>30 minutes. Learn about quick and hassle-free ways to seamlessly incorporate evidence into your daily work.</w:t>
      </w:r>
    </w:p>
    <w:p w14:paraId="00D48090" w14:textId="58F3D203" w:rsidR="00191F51" w:rsidRPr="002A2074" w:rsidRDefault="00191F51" w:rsidP="00191F51">
      <w:pPr>
        <w:spacing w:before="80" w:after="80"/>
        <w:ind w:left="720"/>
        <w:contextualSpacing/>
        <w:rPr>
          <w:rFonts w:eastAsia="Arial"/>
          <w:b/>
          <w:bCs/>
          <w:color w:val="A20000"/>
          <w:szCs w:val="24"/>
        </w:rPr>
      </w:pPr>
      <w:r w:rsidRPr="002A2074">
        <w:rPr>
          <w:rFonts w:eastAsia="Arial"/>
          <w:b/>
          <w:color w:val="A20000"/>
          <w:szCs w:val="24"/>
        </w:rPr>
        <w:t xml:space="preserve">Next sessions: </w:t>
      </w:r>
      <w:r>
        <w:rPr>
          <w:rFonts w:eastAsia="Arial"/>
          <w:b/>
          <w:color w:val="A20000"/>
          <w:szCs w:val="24"/>
        </w:rPr>
        <w:t>18</w:t>
      </w:r>
      <w:r w:rsidRPr="004E60B4">
        <w:rPr>
          <w:rFonts w:eastAsia="Arial"/>
          <w:b/>
          <w:color w:val="A20000"/>
          <w:szCs w:val="24"/>
          <w:vertAlign w:val="superscript"/>
        </w:rPr>
        <w:t>th</w:t>
      </w:r>
      <w:r>
        <w:rPr>
          <w:rFonts w:eastAsia="Arial"/>
          <w:b/>
          <w:color w:val="A20000"/>
          <w:szCs w:val="24"/>
        </w:rPr>
        <w:t xml:space="preserve"> August @9am</w:t>
      </w:r>
      <w:r>
        <w:rPr>
          <w:rFonts w:eastAsia="Arial"/>
          <w:b/>
          <w:color w:val="A20000"/>
          <w:szCs w:val="24"/>
        </w:rPr>
        <w:t xml:space="preserve"> and 9</w:t>
      </w:r>
      <w:r w:rsidRPr="00191F51">
        <w:rPr>
          <w:rFonts w:eastAsia="Arial"/>
          <w:b/>
          <w:color w:val="A20000"/>
          <w:szCs w:val="24"/>
          <w:vertAlign w:val="superscript"/>
        </w:rPr>
        <w:t>th</w:t>
      </w:r>
      <w:r>
        <w:rPr>
          <w:rFonts w:eastAsia="Arial"/>
          <w:b/>
          <w:color w:val="A20000"/>
          <w:szCs w:val="24"/>
        </w:rPr>
        <w:t xml:space="preserve"> September @10am.</w:t>
      </w:r>
    </w:p>
    <w:p w14:paraId="7354B906" w14:textId="77777777" w:rsidR="00191F51" w:rsidRPr="002A2074" w:rsidRDefault="00191F51" w:rsidP="00191F51">
      <w:pPr>
        <w:spacing w:before="80" w:after="80"/>
        <w:ind w:left="720"/>
        <w:contextualSpacing/>
        <w:rPr>
          <w:rFonts w:eastAsia="Arial"/>
          <w:szCs w:val="24"/>
        </w:rPr>
      </w:pPr>
    </w:p>
    <w:p w14:paraId="144B1B89" w14:textId="77777777" w:rsidR="00191F51" w:rsidRPr="002A2074" w:rsidRDefault="00191F51" w:rsidP="00191F51">
      <w:pPr>
        <w:numPr>
          <w:ilvl w:val="0"/>
          <w:numId w:val="1"/>
        </w:numPr>
        <w:spacing w:before="80" w:after="80" w:line="259" w:lineRule="auto"/>
        <w:rPr>
          <w:color w:val="000000"/>
          <w:szCs w:val="24"/>
        </w:rPr>
      </w:pPr>
      <w:r w:rsidRPr="002A2074">
        <w:rPr>
          <w:b/>
          <w:color w:val="000000"/>
          <w:szCs w:val="24"/>
        </w:rPr>
        <w:t>Quickfire health literacy: communicating with patients more effectively</w:t>
      </w:r>
      <w:r w:rsidRPr="002A2074">
        <w:rPr>
          <w:color w:val="000000"/>
          <w:szCs w:val="24"/>
        </w:rPr>
        <w:br/>
        <w:t>30 minutes. Learn about the communication barriers patients may encounter, and ways to ensure they get the most from their care.</w:t>
      </w:r>
    </w:p>
    <w:p w14:paraId="206C1BA2" w14:textId="12E380D8" w:rsidR="00191F51" w:rsidRPr="002A2074" w:rsidRDefault="00191F51" w:rsidP="00191F51">
      <w:pPr>
        <w:spacing w:before="80" w:after="80"/>
        <w:ind w:left="720"/>
        <w:rPr>
          <w:b/>
          <w:bCs/>
          <w:color w:val="A20000"/>
          <w:szCs w:val="24"/>
        </w:rPr>
      </w:pPr>
      <w:r w:rsidRPr="002A2074">
        <w:rPr>
          <w:b/>
          <w:color w:val="A20000"/>
          <w:szCs w:val="24"/>
        </w:rPr>
        <w:t xml:space="preserve">Next sessions: </w:t>
      </w:r>
      <w:r>
        <w:rPr>
          <w:b/>
          <w:color w:val="A20000"/>
          <w:szCs w:val="24"/>
        </w:rPr>
        <w:t>7</w:t>
      </w:r>
      <w:r w:rsidRPr="00FF1CD9">
        <w:rPr>
          <w:b/>
          <w:color w:val="A20000"/>
          <w:szCs w:val="24"/>
          <w:vertAlign w:val="superscript"/>
        </w:rPr>
        <w:t>th</w:t>
      </w:r>
      <w:r>
        <w:rPr>
          <w:b/>
          <w:color w:val="A20000"/>
          <w:szCs w:val="24"/>
        </w:rPr>
        <w:t xml:space="preserve"> August @1pm</w:t>
      </w:r>
      <w:r>
        <w:rPr>
          <w:b/>
          <w:color w:val="A20000"/>
          <w:szCs w:val="24"/>
        </w:rPr>
        <w:t xml:space="preserve"> and 21</w:t>
      </w:r>
      <w:r w:rsidRPr="00191F51">
        <w:rPr>
          <w:b/>
          <w:color w:val="A20000"/>
          <w:szCs w:val="24"/>
          <w:vertAlign w:val="superscript"/>
        </w:rPr>
        <w:t>st</w:t>
      </w:r>
      <w:r>
        <w:rPr>
          <w:b/>
          <w:color w:val="A20000"/>
          <w:szCs w:val="24"/>
        </w:rPr>
        <w:t xml:space="preserve"> September @2pm.</w:t>
      </w:r>
    </w:p>
    <w:p w14:paraId="6E6CC68D" w14:textId="77777777" w:rsidR="00191F51" w:rsidRPr="00C76319" w:rsidRDefault="00191F51" w:rsidP="00191F51">
      <w:pPr>
        <w:rPr>
          <w:rFonts w:eastAsia="Calibri"/>
          <w:b/>
          <w:bCs/>
        </w:rPr>
      </w:pPr>
    </w:p>
    <w:p w14:paraId="5E0A11F9" w14:textId="4089C99C" w:rsidR="00191F51" w:rsidRDefault="00191F51" w:rsidP="00191F51">
      <w:pPr>
        <w:pStyle w:val="Default"/>
        <w:pBdr>
          <w:bottom w:val="single" w:sz="6" w:space="1" w:color="auto"/>
        </w:pBdr>
        <w:rPr>
          <w:rFonts w:eastAsia="Calibri"/>
        </w:rPr>
      </w:pPr>
      <w:r w:rsidRPr="00C76319">
        <w:rPr>
          <w:rFonts w:eastAsia="Calibri"/>
        </w:rPr>
        <w:t xml:space="preserve">Book a session today at </w:t>
      </w:r>
      <w:hyperlink r:id="rId6" w:history="1">
        <w:r w:rsidRPr="00C76319">
          <w:rPr>
            <w:rFonts w:eastAsia="Calibri"/>
            <w:color w:val="0563C1" w:themeColor="hyperlink"/>
            <w:u w:val="single"/>
          </w:rPr>
          <w:t>https://forms.office.com/e/HyiSXfDaYV</w:t>
        </w:r>
      </w:hyperlink>
      <w:r w:rsidRPr="00C76319">
        <w:rPr>
          <w:rFonts w:eastAsia="Calibri"/>
        </w:rPr>
        <w:t xml:space="preserve"> </w:t>
      </w:r>
    </w:p>
    <w:p w14:paraId="33BE7EAB" w14:textId="77777777" w:rsidR="00191F51" w:rsidRDefault="00191F51" w:rsidP="00191F51">
      <w:pPr>
        <w:pStyle w:val="Default"/>
        <w:pBdr>
          <w:bottom w:val="single" w:sz="6" w:space="1" w:color="auto"/>
        </w:pBdr>
        <w:rPr>
          <w:rFonts w:eastAsia="Calibri"/>
        </w:rPr>
      </w:pPr>
    </w:p>
    <w:p w14:paraId="7936CA00" w14:textId="77777777" w:rsidR="00DD6D1E" w:rsidRDefault="00DD6D1E" w:rsidP="00DD6D1E">
      <w:pPr>
        <w:pStyle w:val="Default"/>
        <w:rPr>
          <w:b/>
          <w:bCs/>
          <w:sz w:val="20"/>
          <w:szCs w:val="22"/>
        </w:rPr>
      </w:pPr>
    </w:p>
    <w:sdt>
      <w:sdtPr>
        <w:rPr>
          <w:rFonts w:ascii="Arial" w:eastAsiaTheme="minorHAnsi" w:hAnsi="Arial" w:cs="Calibri"/>
          <w:color w:val="auto"/>
          <w:sz w:val="24"/>
          <w:szCs w:val="22"/>
          <w:lang w:val="en-GB"/>
        </w:rPr>
        <w:id w:val="284322532"/>
        <w:docPartObj>
          <w:docPartGallery w:val="Table of Contents"/>
          <w:docPartUnique/>
        </w:docPartObj>
      </w:sdtPr>
      <w:sdtEndPr>
        <w:rPr>
          <w:b/>
          <w:bCs/>
          <w:noProof/>
        </w:rPr>
      </w:sdtEndPr>
      <w:sdtContent>
        <w:p w14:paraId="45F04D86" w14:textId="77777777" w:rsidR="00653B13" w:rsidRDefault="00653B13">
          <w:pPr>
            <w:pStyle w:val="TOCHeading"/>
          </w:pPr>
          <w:r>
            <w:t>Contents</w:t>
          </w:r>
        </w:p>
        <w:p w14:paraId="0779D862" w14:textId="6C9D095A" w:rsidR="00601676" w:rsidRDefault="00653B13">
          <w:pPr>
            <w:pStyle w:val="TOC1"/>
            <w:tabs>
              <w:tab w:val="right" w:leader="dot" w:pos="9016"/>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36661547" w:history="1">
            <w:r w:rsidR="00601676" w:rsidRPr="003E3D09">
              <w:rPr>
                <w:rStyle w:val="Hyperlink"/>
                <w:noProof/>
              </w:rPr>
              <w:t>Aphasia</w:t>
            </w:r>
            <w:r w:rsidR="00601676">
              <w:rPr>
                <w:noProof/>
                <w:webHidden/>
              </w:rPr>
              <w:tab/>
            </w:r>
            <w:r w:rsidR="00601676">
              <w:rPr>
                <w:noProof/>
                <w:webHidden/>
              </w:rPr>
              <w:fldChar w:fldCharType="begin"/>
            </w:r>
            <w:r w:rsidR="00601676">
              <w:rPr>
                <w:noProof/>
                <w:webHidden/>
              </w:rPr>
              <w:instrText xml:space="preserve"> PAGEREF _Toc236661547 \h </w:instrText>
            </w:r>
            <w:r w:rsidR="00601676">
              <w:rPr>
                <w:noProof/>
                <w:webHidden/>
              </w:rPr>
            </w:r>
            <w:r w:rsidR="00601676">
              <w:rPr>
                <w:noProof/>
                <w:webHidden/>
              </w:rPr>
              <w:fldChar w:fldCharType="separate"/>
            </w:r>
            <w:r w:rsidR="00302947">
              <w:rPr>
                <w:noProof/>
                <w:webHidden/>
              </w:rPr>
              <w:t>1</w:t>
            </w:r>
            <w:r w:rsidR="00601676">
              <w:rPr>
                <w:noProof/>
                <w:webHidden/>
              </w:rPr>
              <w:fldChar w:fldCharType="end"/>
            </w:r>
          </w:hyperlink>
        </w:p>
        <w:p w14:paraId="686ED78E" w14:textId="6826356D" w:rsidR="00601676" w:rsidRDefault="00601676">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6661548" w:history="1">
            <w:r w:rsidRPr="003E3D09">
              <w:rPr>
                <w:rStyle w:val="Hyperlink"/>
                <w:noProof/>
              </w:rPr>
              <w:t>Dysarthria</w:t>
            </w:r>
            <w:r>
              <w:rPr>
                <w:noProof/>
                <w:webHidden/>
              </w:rPr>
              <w:tab/>
            </w:r>
            <w:r>
              <w:rPr>
                <w:noProof/>
                <w:webHidden/>
              </w:rPr>
              <w:fldChar w:fldCharType="begin"/>
            </w:r>
            <w:r>
              <w:rPr>
                <w:noProof/>
                <w:webHidden/>
              </w:rPr>
              <w:instrText xml:space="preserve"> PAGEREF _Toc236661548 \h </w:instrText>
            </w:r>
            <w:r>
              <w:rPr>
                <w:noProof/>
                <w:webHidden/>
              </w:rPr>
            </w:r>
            <w:r>
              <w:rPr>
                <w:noProof/>
                <w:webHidden/>
              </w:rPr>
              <w:fldChar w:fldCharType="separate"/>
            </w:r>
            <w:r w:rsidR="00302947">
              <w:rPr>
                <w:noProof/>
                <w:webHidden/>
              </w:rPr>
              <w:t>4</w:t>
            </w:r>
            <w:r>
              <w:rPr>
                <w:noProof/>
                <w:webHidden/>
              </w:rPr>
              <w:fldChar w:fldCharType="end"/>
            </w:r>
          </w:hyperlink>
        </w:p>
        <w:p w14:paraId="7F504603" w14:textId="722113E3" w:rsidR="00601676" w:rsidRDefault="00601676">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6661549" w:history="1">
            <w:r w:rsidRPr="003E3D09">
              <w:rPr>
                <w:rStyle w:val="Hyperlink"/>
                <w:noProof/>
              </w:rPr>
              <w:t>Dysphagia</w:t>
            </w:r>
            <w:r>
              <w:rPr>
                <w:noProof/>
                <w:webHidden/>
              </w:rPr>
              <w:tab/>
            </w:r>
            <w:r>
              <w:rPr>
                <w:noProof/>
                <w:webHidden/>
              </w:rPr>
              <w:fldChar w:fldCharType="begin"/>
            </w:r>
            <w:r>
              <w:rPr>
                <w:noProof/>
                <w:webHidden/>
              </w:rPr>
              <w:instrText xml:space="preserve"> PAGEREF _Toc236661549 \h </w:instrText>
            </w:r>
            <w:r>
              <w:rPr>
                <w:noProof/>
                <w:webHidden/>
              </w:rPr>
            </w:r>
            <w:r>
              <w:rPr>
                <w:noProof/>
                <w:webHidden/>
              </w:rPr>
              <w:fldChar w:fldCharType="separate"/>
            </w:r>
            <w:r w:rsidR="00302947">
              <w:rPr>
                <w:noProof/>
                <w:webHidden/>
              </w:rPr>
              <w:t>9</w:t>
            </w:r>
            <w:r>
              <w:rPr>
                <w:noProof/>
                <w:webHidden/>
              </w:rPr>
              <w:fldChar w:fldCharType="end"/>
            </w:r>
          </w:hyperlink>
        </w:p>
        <w:p w14:paraId="459AE2B7" w14:textId="5C677715" w:rsidR="00601676" w:rsidRDefault="00601676">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6661550" w:history="1">
            <w:r w:rsidRPr="003E3D09">
              <w:rPr>
                <w:rStyle w:val="Hyperlink"/>
                <w:noProof/>
              </w:rPr>
              <w:t>Videofluoroscopy</w:t>
            </w:r>
            <w:r>
              <w:rPr>
                <w:noProof/>
                <w:webHidden/>
              </w:rPr>
              <w:tab/>
            </w:r>
            <w:r>
              <w:rPr>
                <w:noProof/>
                <w:webHidden/>
              </w:rPr>
              <w:fldChar w:fldCharType="begin"/>
            </w:r>
            <w:r>
              <w:rPr>
                <w:noProof/>
                <w:webHidden/>
              </w:rPr>
              <w:instrText xml:space="preserve"> PAGEREF _Toc236661550 \h </w:instrText>
            </w:r>
            <w:r>
              <w:rPr>
                <w:noProof/>
                <w:webHidden/>
              </w:rPr>
            </w:r>
            <w:r>
              <w:rPr>
                <w:noProof/>
                <w:webHidden/>
              </w:rPr>
              <w:fldChar w:fldCharType="separate"/>
            </w:r>
            <w:r w:rsidR="00302947">
              <w:rPr>
                <w:noProof/>
                <w:webHidden/>
              </w:rPr>
              <w:t>21</w:t>
            </w:r>
            <w:r>
              <w:rPr>
                <w:noProof/>
                <w:webHidden/>
              </w:rPr>
              <w:fldChar w:fldCharType="end"/>
            </w:r>
          </w:hyperlink>
        </w:p>
        <w:p w14:paraId="61F8699C" w14:textId="61458606" w:rsidR="00601676" w:rsidRDefault="00601676">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6661551" w:history="1">
            <w:r w:rsidRPr="003E3D09">
              <w:rPr>
                <w:rStyle w:val="Hyperlink"/>
                <w:noProof/>
              </w:rPr>
              <w:t>FEES</w:t>
            </w:r>
            <w:r>
              <w:rPr>
                <w:noProof/>
                <w:webHidden/>
              </w:rPr>
              <w:tab/>
            </w:r>
            <w:r>
              <w:rPr>
                <w:noProof/>
                <w:webHidden/>
              </w:rPr>
              <w:fldChar w:fldCharType="begin"/>
            </w:r>
            <w:r>
              <w:rPr>
                <w:noProof/>
                <w:webHidden/>
              </w:rPr>
              <w:instrText xml:space="preserve"> PAGEREF _Toc236661551 \h </w:instrText>
            </w:r>
            <w:r>
              <w:rPr>
                <w:noProof/>
                <w:webHidden/>
              </w:rPr>
            </w:r>
            <w:r>
              <w:rPr>
                <w:noProof/>
                <w:webHidden/>
              </w:rPr>
              <w:fldChar w:fldCharType="separate"/>
            </w:r>
            <w:r w:rsidR="00302947">
              <w:rPr>
                <w:noProof/>
                <w:webHidden/>
              </w:rPr>
              <w:t>23</w:t>
            </w:r>
            <w:r>
              <w:rPr>
                <w:noProof/>
                <w:webHidden/>
              </w:rPr>
              <w:fldChar w:fldCharType="end"/>
            </w:r>
          </w:hyperlink>
        </w:p>
        <w:p w14:paraId="4124990D" w14:textId="11F86B6D" w:rsidR="00653B13" w:rsidRDefault="00653B13">
          <w:r>
            <w:rPr>
              <w:b/>
              <w:bCs/>
              <w:noProof/>
            </w:rPr>
            <w:fldChar w:fldCharType="end"/>
          </w:r>
        </w:p>
      </w:sdtContent>
    </w:sdt>
    <w:p w14:paraId="716D9AA6" w14:textId="77777777" w:rsidR="00DD6D1E" w:rsidRDefault="003E7AE2" w:rsidP="003E7AE2">
      <w:pPr>
        <w:pStyle w:val="Heading1"/>
      </w:pPr>
      <w:bookmarkStart w:id="0" w:name="_Toc236661547"/>
      <w:r w:rsidRPr="003E7AE2">
        <w:t>Aphasia</w:t>
      </w:r>
      <w:bookmarkEnd w:id="0"/>
    </w:p>
    <w:p w14:paraId="462C9818" w14:textId="0752E7F6"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1. </w:t>
      </w:r>
      <w:r w:rsidRPr="0050212E">
        <w:rPr>
          <w:rFonts w:ascii="Roboto" w:eastAsia="Times New Roman" w:hAnsi="Roboto" w:cs="Times New Roman"/>
          <w:b/>
          <w:bCs/>
          <w:color w:val="000000"/>
          <w:sz w:val="21"/>
          <w:szCs w:val="21"/>
          <w:lang w:eastAsia="en-GB"/>
        </w:rPr>
        <w:t>What Is Happening at Home? An Analysis of the Impact of Real-World Communication and Daily Activities on Quality of Life for People With Aphasia.</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Cote, </w:t>
      </w:r>
      <w:proofErr w:type="spellStart"/>
      <w:r w:rsidRPr="0050212E">
        <w:rPr>
          <w:rFonts w:ascii="Roboto" w:eastAsia="Times New Roman" w:hAnsi="Roboto" w:cs="Times New Roman"/>
          <w:color w:val="000000"/>
          <w:sz w:val="21"/>
          <w:szCs w:val="21"/>
          <w:lang w:eastAsia="en-GB"/>
        </w:rPr>
        <w:t>Kaila;Suting</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Louisa;Bhattacharjee</w:t>
      </w:r>
      <w:proofErr w:type="spellEnd"/>
      <w:r w:rsidRPr="0050212E">
        <w:rPr>
          <w:rFonts w:ascii="Roboto" w:eastAsia="Times New Roman" w:hAnsi="Roboto" w:cs="Times New Roman"/>
          <w:color w:val="000000"/>
          <w:sz w:val="21"/>
          <w:szCs w:val="21"/>
          <w:lang w:eastAsia="en-GB"/>
        </w:rPr>
        <w:t xml:space="preserve">, Arinjoy and </w:t>
      </w:r>
      <w:proofErr w:type="spellStart"/>
      <w:r w:rsidRPr="0050212E">
        <w:rPr>
          <w:rFonts w:ascii="Roboto" w:eastAsia="Times New Roman" w:hAnsi="Roboto" w:cs="Times New Roman"/>
          <w:color w:val="000000"/>
          <w:sz w:val="21"/>
          <w:szCs w:val="21"/>
          <w:lang w:eastAsia="en-GB"/>
        </w:rPr>
        <w:t>Mozeiko</w:t>
      </w:r>
      <w:proofErr w:type="spellEnd"/>
      <w:r w:rsidRPr="0050212E">
        <w:rPr>
          <w:rFonts w:ascii="Roboto" w:eastAsia="Times New Roman" w:hAnsi="Roboto" w:cs="Times New Roman"/>
          <w:color w:val="000000"/>
          <w:sz w:val="21"/>
          <w:szCs w:val="21"/>
          <w:lang w:eastAsia="en-GB"/>
        </w:rPr>
        <w:t>, Jennifer</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Jul 29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American Journal of Speech-Language Pathology 1-19</w:t>
      </w:r>
      <w:r>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Abstract: PURPOSE</w:t>
      </w:r>
      <w:r w:rsidRPr="0050212E">
        <w:rPr>
          <w:rFonts w:ascii="Roboto" w:eastAsia="Times New Roman" w:hAnsi="Roboto" w:cs="Times New Roman"/>
          <w:color w:val="000000"/>
          <w:sz w:val="21"/>
          <w:szCs w:val="21"/>
          <w:lang w:eastAsia="en-GB"/>
        </w:rPr>
        <w:t>: The aim of this study was to examine differences in various elements of real-world, at-home communication and activity participation on quality of life (QoL) for people with aphasia (PWA) and adults with no brain injury (NBI). </w:t>
      </w:r>
      <w:r w:rsidRPr="0050212E">
        <w:rPr>
          <w:rFonts w:ascii="Roboto" w:eastAsia="Times New Roman" w:hAnsi="Roboto" w:cs="Times New Roman"/>
          <w:b/>
          <w:bCs/>
          <w:color w:val="000000"/>
          <w:sz w:val="21"/>
          <w:szCs w:val="21"/>
          <w:lang w:eastAsia="en-GB"/>
        </w:rPr>
        <w:t>METHOD</w:t>
      </w:r>
      <w:r w:rsidRPr="0050212E">
        <w:rPr>
          <w:rFonts w:ascii="Roboto" w:eastAsia="Times New Roman" w:hAnsi="Roboto" w:cs="Times New Roman"/>
          <w:color w:val="000000"/>
          <w:sz w:val="21"/>
          <w:szCs w:val="21"/>
          <w:lang w:eastAsia="en-GB"/>
        </w:rPr>
        <w:t xml:space="preserve">: Twenty PWA and 19 age-matched participants with NBI recorded themselves at home for two consecutive days. The Language Environment Analysis system was used to </w:t>
      </w:r>
      <w:proofErr w:type="spellStart"/>
      <w:r w:rsidRPr="0050212E">
        <w:rPr>
          <w:rFonts w:ascii="Roboto" w:eastAsia="Times New Roman" w:hAnsi="Roboto" w:cs="Times New Roman"/>
          <w:color w:val="000000"/>
          <w:sz w:val="21"/>
          <w:szCs w:val="21"/>
          <w:lang w:eastAsia="en-GB"/>
        </w:rPr>
        <w:t>analyze</w:t>
      </w:r>
      <w:proofErr w:type="spellEnd"/>
      <w:r w:rsidRPr="0050212E">
        <w:rPr>
          <w:rFonts w:ascii="Roboto" w:eastAsia="Times New Roman" w:hAnsi="Roboto" w:cs="Times New Roman"/>
          <w:color w:val="000000"/>
          <w:sz w:val="21"/>
          <w:szCs w:val="21"/>
          <w:lang w:eastAsia="en-GB"/>
        </w:rPr>
        <w:t xml:space="preserve"> recordings for total conversation time and silence. Thirty minutes of conversation was transcribed manually and </w:t>
      </w:r>
      <w:proofErr w:type="spellStart"/>
      <w:r w:rsidRPr="0050212E">
        <w:rPr>
          <w:rFonts w:ascii="Roboto" w:eastAsia="Times New Roman" w:hAnsi="Roboto" w:cs="Times New Roman"/>
          <w:color w:val="000000"/>
          <w:sz w:val="21"/>
          <w:szCs w:val="21"/>
          <w:lang w:eastAsia="en-GB"/>
        </w:rPr>
        <w:t>analyzed</w:t>
      </w:r>
      <w:proofErr w:type="spellEnd"/>
      <w:r w:rsidRPr="0050212E">
        <w:rPr>
          <w:rFonts w:ascii="Roboto" w:eastAsia="Times New Roman" w:hAnsi="Roboto" w:cs="Times New Roman"/>
          <w:color w:val="000000"/>
          <w:sz w:val="21"/>
          <w:szCs w:val="21"/>
          <w:lang w:eastAsia="en-GB"/>
        </w:rPr>
        <w:t xml:space="preserve"> for word count and conversational turns. Participants also completed daily activity diaries. Correlations were used to explore the association between communication variables and QoL scores followed by multiple regression to identify predictors of QoL.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xml:space="preserve">: PWA and participants with NBI as well as their partners produced similar amounts of total conversation time; however, participants with NBI used more than twice as many words within the same </w:t>
      </w:r>
      <w:proofErr w:type="gramStart"/>
      <w:r w:rsidRPr="0050212E">
        <w:rPr>
          <w:rFonts w:ascii="Roboto" w:eastAsia="Times New Roman" w:hAnsi="Roboto" w:cs="Times New Roman"/>
          <w:color w:val="000000"/>
          <w:sz w:val="21"/>
          <w:szCs w:val="21"/>
          <w:lang w:eastAsia="en-GB"/>
        </w:rPr>
        <w:t>time period</w:t>
      </w:r>
      <w:proofErr w:type="gramEnd"/>
      <w:r w:rsidRPr="0050212E">
        <w:rPr>
          <w:rFonts w:ascii="Roboto" w:eastAsia="Times New Roman" w:hAnsi="Roboto" w:cs="Times New Roman"/>
          <w:color w:val="000000"/>
          <w:sz w:val="21"/>
          <w:szCs w:val="21"/>
          <w:lang w:eastAsia="en-GB"/>
        </w:rPr>
        <w:t>. Standardized QoL scores did not differ significantly between groups. Total conversation time emerged as a significant predictor of QoL in the regression model. No group differences were observed in overall activity participation, though television watching was negatively associated with QoL for PWA.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xml:space="preserve">: Findings suggest that quantitative measures of everyday communication such as conversation time, word count, and conversational turns may not fully distinguish PWA from healthy adults, yet specific communication </w:t>
      </w:r>
      <w:proofErr w:type="spellStart"/>
      <w:r w:rsidRPr="0050212E">
        <w:rPr>
          <w:rFonts w:ascii="Roboto" w:eastAsia="Times New Roman" w:hAnsi="Roboto" w:cs="Times New Roman"/>
          <w:color w:val="000000"/>
          <w:sz w:val="21"/>
          <w:szCs w:val="21"/>
          <w:lang w:eastAsia="en-GB"/>
        </w:rPr>
        <w:t>behaviors</w:t>
      </w:r>
      <w:proofErr w:type="spellEnd"/>
      <w:r w:rsidRPr="0050212E">
        <w:rPr>
          <w:rFonts w:ascii="Roboto" w:eastAsia="Times New Roman" w:hAnsi="Roboto" w:cs="Times New Roman"/>
          <w:color w:val="000000"/>
          <w:sz w:val="21"/>
          <w:szCs w:val="21"/>
          <w:lang w:eastAsia="en-GB"/>
        </w:rPr>
        <w:t xml:space="preserve"> such as the amount of time spent in conversation and increased television watching may influence QoL. Clinicians should consider home communication as an important factor when assessing language needs and designing interventions. Future research will explore how the quality, not just the quantity, of communicative interactions contributes to QoL in aphasia.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7" w:tgtFrame="_blank" w:history="1">
        <w:r w:rsidRPr="0050212E">
          <w:rPr>
            <w:rFonts w:ascii="Roboto" w:eastAsia="Times New Roman" w:hAnsi="Roboto" w:cs="Times New Roman"/>
            <w:color w:val="0066CC"/>
            <w:sz w:val="21"/>
            <w:szCs w:val="21"/>
            <w:lang w:eastAsia="en-GB"/>
          </w:rPr>
          <w:t>https://libkey.io/10.1044/2026_AJSLP-25-00470</w:t>
        </w:r>
      </w:hyperlink>
    </w:p>
    <w:p w14:paraId="37D39FB2" w14:textId="6572FCA3"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2. </w:t>
      </w:r>
      <w:r w:rsidRPr="0050212E">
        <w:rPr>
          <w:rFonts w:ascii="Roboto" w:eastAsia="Times New Roman" w:hAnsi="Roboto" w:cs="Times New Roman"/>
          <w:b/>
          <w:bCs/>
          <w:color w:val="000000"/>
          <w:sz w:val="21"/>
          <w:szCs w:val="21"/>
          <w:lang w:eastAsia="en-GB"/>
        </w:rPr>
        <w:t>The relationship between executive functions and language abilities in people with post-stroke aphasia: A systematic review of recent findings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Dosen, Ana and Matic, Ana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Jul 11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 xml:space="preserve">International Journal of </w:t>
      </w:r>
      <w:proofErr w:type="spellStart"/>
      <w:r w:rsidRPr="0050212E">
        <w:rPr>
          <w:rFonts w:ascii="Roboto" w:eastAsia="Times New Roman" w:hAnsi="Roboto" w:cs="Times New Roman"/>
          <w:color w:val="000000"/>
          <w:sz w:val="21"/>
          <w:szCs w:val="21"/>
          <w:lang w:eastAsia="en-GB"/>
        </w:rPr>
        <w:t>Speechlanguage</w:t>
      </w:r>
      <w:proofErr w:type="spellEnd"/>
      <w:r w:rsidRPr="0050212E">
        <w:rPr>
          <w:rFonts w:ascii="Roboto" w:eastAsia="Times New Roman" w:hAnsi="Roboto" w:cs="Times New Roman"/>
          <w:color w:val="000000"/>
          <w:sz w:val="21"/>
          <w:szCs w:val="21"/>
          <w:lang w:eastAsia="en-GB"/>
        </w:rPr>
        <w:t xml:space="preserve"> Pathology 1-25</w:t>
      </w:r>
      <w:r>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PURPOSE</w:t>
      </w:r>
      <w:r w:rsidRPr="0050212E">
        <w:rPr>
          <w:rFonts w:ascii="Roboto" w:eastAsia="Times New Roman" w:hAnsi="Roboto" w:cs="Times New Roman"/>
          <w:color w:val="000000"/>
          <w:sz w:val="21"/>
          <w:szCs w:val="21"/>
          <w:lang w:eastAsia="en-GB"/>
        </w:rPr>
        <w:t>: This systematic review explores the relationship between executive functions and language abilities in people with post-stroke aphasia by addressing two questions: (a) What are the most commonly used tests and tasks to measure executive functioning in post-stroke aphasia?; and (b) Which executive functions contribute to a particular language ability? (i.e. How does executive functioning performance relate to performance on specific language comprehension and production tasks in post-stroke aphasia?). </w:t>
      </w:r>
      <w:r w:rsidRPr="0050212E">
        <w:rPr>
          <w:rFonts w:ascii="Roboto" w:eastAsia="Times New Roman" w:hAnsi="Roboto" w:cs="Times New Roman"/>
          <w:b/>
          <w:bCs/>
          <w:color w:val="000000"/>
          <w:sz w:val="21"/>
          <w:szCs w:val="21"/>
          <w:lang w:eastAsia="en-GB"/>
        </w:rPr>
        <w:t>METHOD</w:t>
      </w:r>
      <w:r w:rsidRPr="0050212E">
        <w:rPr>
          <w:rFonts w:ascii="Roboto" w:eastAsia="Times New Roman" w:hAnsi="Roboto" w:cs="Times New Roman"/>
          <w:color w:val="000000"/>
          <w:sz w:val="21"/>
          <w:szCs w:val="21"/>
          <w:lang w:eastAsia="en-GB"/>
        </w:rPr>
        <w:t xml:space="preserve">: A total of 33 studies published between January </w:t>
      </w:r>
      <w:proofErr w:type="gramStart"/>
      <w:r w:rsidRPr="0050212E">
        <w:rPr>
          <w:rFonts w:ascii="Roboto" w:eastAsia="Times New Roman" w:hAnsi="Roboto" w:cs="Times New Roman"/>
          <w:color w:val="000000"/>
          <w:sz w:val="21"/>
          <w:szCs w:val="21"/>
          <w:lang w:eastAsia="en-GB"/>
        </w:rPr>
        <w:t>2004</w:t>
      </w:r>
      <w:proofErr w:type="gramEnd"/>
      <w:r w:rsidRPr="0050212E">
        <w:rPr>
          <w:rFonts w:ascii="Roboto" w:eastAsia="Times New Roman" w:hAnsi="Roboto" w:cs="Times New Roman"/>
          <w:color w:val="000000"/>
          <w:sz w:val="21"/>
          <w:szCs w:val="21"/>
          <w:lang w:eastAsia="en-GB"/>
        </w:rPr>
        <w:t xml:space="preserve"> and January 2024 were conducted using the Web of Science and Scopus databases, with the PRISMA flow diagram illustrating the selection process. </w:t>
      </w:r>
      <w:r w:rsidRPr="0050212E">
        <w:rPr>
          <w:rFonts w:ascii="Roboto" w:eastAsia="Times New Roman" w:hAnsi="Roboto" w:cs="Times New Roman"/>
          <w:b/>
          <w:bCs/>
          <w:color w:val="000000"/>
          <w:sz w:val="21"/>
          <w:szCs w:val="21"/>
          <w:lang w:eastAsia="en-GB"/>
        </w:rPr>
        <w:t>RESULT</w:t>
      </w:r>
      <w:r w:rsidRPr="0050212E">
        <w:rPr>
          <w:rFonts w:ascii="Roboto" w:eastAsia="Times New Roman" w:hAnsi="Roboto" w:cs="Times New Roman"/>
          <w:color w:val="000000"/>
          <w:sz w:val="21"/>
          <w:szCs w:val="21"/>
          <w:lang w:eastAsia="en-GB"/>
        </w:rPr>
        <w:t>: Most studies (82%) reported either a partial or a clear relationship between executive functioning and language performance. However, not all executive functions contribute equally to all language abilities (e.g. comprehension vs. production) or levels (e.g. word- vs. sentence-level). The most commonly used executive functioning measures included span tasks (particularly Backward Digit Span and Listening Span variants), the Brixton Spatial Anticipation Test, Trail Making Test, Stroop task, Coloured Progressive Matrices, and Wisconsin Card Sorting Test. </w:t>
      </w:r>
      <w:r w:rsidRPr="0050212E">
        <w:rPr>
          <w:rFonts w:ascii="Roboto" w:eastAsia="Times New Roman" w:hAnsi="Roboto" w:cs="Times New Roman"/>
          <w:b/>
          <w:bCs/>
          <w:color w:val="000000"/>
          <w:sz w:val="21"/>
          <w:szCs w:val="21"/>
          <w:lang w:eastAsia="en-GB"/>
        </w:rPr>
        <w:t>CONCLUSION</w:t>
      </w:r>
      <w:r w:rsidRPr="0050212E">
        <w:rPr>
          <w:rFonts w:ascii="Roboto" w:eastAsia="Times New Roman" w:hAnsi="Roboto" w:cs="Times New Roman"/>
          <w:color w:val="000000"/>
          <w:sz w:val="21"/>
          <w:szCs w:val="21"/>
          <w:lang w:eastAsia="en-GB"/>
        </w:rPr>
        <w:t>: The strength and consistency of the relationship between executive functioning and language appear to depend on various factors, which emphasises the need for more controlled methodology, refined measurements, and representative samples in future research.</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Access or request full text: </w:t>
      </w:r>
      <w:hyperlink r:id="rId8" w:tgtFrame="_blank" w:history="1">
        <w:r w:rsidRPr="0050212E">
          <w:rPr>
            <w:rFonts w:ascii="Roboto" w:eastAsia="Times New Roman" w:hAnsi="Roboto" w:cs="Times New Roman"/>
            <w:color w:val="0066CC"/>
            <w:sz w:val="21"/>
            <w:szCs w:val="21"/>
            <w:lang w:eastAsia="en-GB"/>
          </w:rPr>
          <w:t>https://libkey.io/10.1080/17549507.2026.2694575</w:t>
        </w:r>
      </w:hyperlink>
    </w:p>
    <w:p w14:paraId="4CA2345F" w14:textId="4804E5EF"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3. </w:t>
      </w:r>
      <w:r w:rsidRPr="0050212E">
        <w:rPr>
          <w:rFonts w:ascii="Roboto" w:eastAsia="Times New Roman" w:hAnsi="Roboto" w:cs="Times New Roman"/>
          <w:b/>
          <w:bCs/>
          <w:color w:val="000000"/>
          <w:sz w:val="21"/>
          <w:szCs w:val="21"/>
          <w:lang w:eastAsia="en-GB"/>
        </w:rPr>
        <w:t>Is a Picture Worth a Thousand Words? Preliminary Image Preferences of Persons Living with Aphasia to Support Their Communication.</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Pillay, Bhavani </w:t>
      </w:r>
      <w:proofErr w:type="spellStart"/>
      <w:proofErr w:type="gramStart"/>
      <w:r w:rsidRPr="0050212E">
        <w:rPr>
          <w:rFonts w:ascii="Roboto" w:eastAsia="Times New Roman" w:hAnsi="Roboto" w:cs="Times New Roman"/>
          <w:color w:val="000000"/>
          <w:sz w:val="21"/>
          <w:szCs w:val="21"/>
          <w:lang w:eastAsia="en-GB"/>
        </w:rPr>
        <w:t>Sarveshvari;van</w:t>
      </w:r>
      <w:proofErr w:type="spellEnd"/>
      <w:proofErr w:type="gramEnd"/>
      <w:r w:rsidRPr="0050212E">
        <w:rPr>
          <w:rFonts w:ascii="Roboto" w:eastAsia="Times New Roman" w:hAnsi="Roboto" w:cs="Times New Roman"/>
          <w:color w:val="000000"/>
          <w:sz w:val="21"/>
          <w:szCs w:val="21"/>
          <w:lang w:eastAsia="en-GB"/>
        </w:rPr>
        <w:t xml:space="preserve"> der Linde, </w:t>
      </w:r>
      <w:proofErr w:type="spellStart"/>
      <w:proofErr w:type="gramStart"/>
      <w:r w:rsidRPr="0050212E">
        <w:rPr>
          <w:rFonts w:ascii="Roboto" w:eastAsia="Times New Roman" w:hAnsi="Roboto" w:cs="Times New Roman"/>
          <w:color w:val="000000"/>
          <w:sz w:val="21"/>
          <w:szCs w:val="21"/>
          <w:lang w:eastAsia="en-GB"/>
        </w:rPr>
        <w:t>Jeannie;Graham</w:t>
      </w:r>
      <w:proofErr w:type="spellEnd"/>
      <w:proofErr w:type="gramEnd"/>
      <w:r w:rsidRPr="0050212E">
        <w:rPr>
          <w:rFonts w:ascii="Roboto" w:eastAsia="Times New Roman" w:hAnsi="Roboto" w:cs="Times New Roman"/>
          <w:color w:val="000000"/>
          <w:sz w:val="21"/>
          <w:szCs w:val="21"/>
          <w:lang w:eastAsia="en-GB"/>
        </w:rPr>
        <w:t xml:space="preserve">, Marien </w:t>
      </w:r>
      <w:proofErr w:type="spellStart"/>
      <w:r w:rsidRPr="0050212E">
        <w:rPr>
          <w:rFonts w:ascii="Roboto" w:eastAsia="Times New Roman" w:hAnsi="Roboto" w:cs="Times New Roman"/>
          <w:color w:val="000000"/>
          <w:sz w:val="21"/>
          <w:szCs w:val="21"/>
          <w:lang w:eastAsia="en-GB"/>
        </w:rPr>
        <w:t>Alet</w:t>
      </w:r>
      <w:proofErr w:type="spellEnd"/>
      <w:r w:rsidRPr="0050212E">
        <w:rPr>
          <w:rFonts w:ascii="Roboto" w:eastAsia="Times New Roman" w:hAnsi="Roboto" w:cs="Times New Roman"/>
          <w:color w:val="000000"/>
          <w:sz w:val="21"/>
          <w:szCs w:val="21"/>
          <w:lang w:eastAsia="en-GB"/>
        </w:rPr>
        <w:t xml:space="preserve"> and Dada, Shakila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Jun 02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 xml:space="preserve">Folia </w:t>
      </w:r>
      <w:proofErr w:type="spellStart"/>
      <w:r w:rsidRPr="0050212E">
        <w:rPr>
          <w:rFonts w:ascii="Roboto" w:eastAsia="Times New Roman" w:hAnsi="Roboto" w:cs="Times New Roman"/>
          <w:color w:val="000000"/>
          <w:sz w:val="21"/>
          <w:szCs w:val="21"/>
          <w:lang w:eastAsia="en-GB"/>
        </w:rPr>
        <w:t>Phoniatrica</w:t>
      </w:r>
      <w:proofErr w:type="spellEnd"/>
      <w:r w:rsidRPr="0050212E">
        <w:rPr>
          <w:rFonts w:ascii="Roboto" w:eastAsia="Times New Roman" w:hAnsi="Roboto" w:cs="Times New Roman"/>
          <w:color w:val="000000"/>
          <w:sz w:val="21"/>
          <w:szCs w:val="21"/>
          <w:lang w:eastAsia="en-GB"/>
        </w:rPr>
        <w:t xml:space="preserve"> Et </w:t>
      </w:r>
      <w:proofErr w:type="spellStart"/>
      <w:r w:rsidRPr="0050212E">
        <w:rPr>
          <w:rFonts w:ascii="Roboto" w:eastAsia="Times New Roman" w:hAnsi="Roboto" w:cs="Times New Roman"/>
          <w:color w:val="000000"/>
          <w:sz w:val="21"/>
          <w:szCs w:val="21"/>
          <w:lang w:eastAsia="en-GB"/>
        </w:rPr>
        <w:t>Logopedica</w:t>
      </w:r>
      <w:proofErr w:type="spellEnd"/>
      <w:r w:rsidRPr="0050212E">
        <w:rPr>
          <w:rFonts w:ascii="Roboto" w:eastAsia="Times New Roman" w:hAnsi="Roboto" w:cs="Times New Roman"/>
          <w:color w:val="000000"/>
          <w:sz w:val="21"/>
          <w:szCs w:val="21"/>
          <w:lang w:eastAsia="en-GB"/>
        </w:rPr>
        <w:t xml:space="preserve"> 1-12</w:t>
      </w:r>
      <w:r>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INTRODUCTION</w:t>
      </w:r>
      <w:r w:rsidRPr="0050212E">
        <w:rPr>
          <w:rFonts w:ascii="Roboto" w:eastAsia="Times New Roman" w:hAnsi="Roboto" w:cs="Times New Roman"/>
          <w:color w:val="000000"/>
          <w:sz w:val="21"/>
          <w:szCs w:val="21"/>
          <w:lang w:eastAsia="en-GB"/>
        </w:rPr>
        <w:t>: Existing research has explored how images can support persons living with aphasia's (PWA) communication modalities and the information they may derive from specific images. However, there is a gap in understanding how PWA select and use various image types to support their communication. </w:t>
      </w:r>
      <w:r w:rsidRPr="0050212E">
        <w:rPr>
          <w:rFonts w:ascii="Roboto" w:eastAsia="Times New Roman" w:hAnsi="Roboto" w:cs="Times New Roman"/>
          <w:b/>
          <w:bCs/>
          <w:color w:val="000000"/>
          <w:sz w:val="21"/>
          <w:szCs w:val="21"/>
          <w:lang w:eastAsia="en-GB"/>
        </w:rPr>
        <w:t>AIM</w:t>
      </w:r>
      <w:r w:rsidRPr="0050212E">
        <w:rPr>
          <w:rFonts w:ascii="Roboto" w:eastAsia="Times New Roman" w:hAnsi="Roboto" w:cs="Times New Roman"/>
          <w:color w:val="000000"/>
          <w:sz w:val="21"/>
          <w:szCs w:val="21"/>
          <w:lang w:eastAsia="en-GB"/>
        </w:rPr>
        <w:t>: This study aimed to (</w:t>
      </w:r>
      <w:proofErr w:type="spellStart"/>
      <w:r w:rsidRPr="0050212E">
        <w:rPr>
          <w:rFonts w:ascii="Roboto" w:eastAsia="Times New Roman" w:hAnsi="Roboto" w:cs="Times New Roman"/>
          <w:color w:val="000000"/>
          <w:sz w:val="21"/>
          <w:szCs w:val="21"/>
          <w:lang w:eastAsia="en-GB"/>
        </w:rPr>
        <w:t>i</w:t>
      </w:r>
      <w:proofErr w:type="spellEnd"/>
      <w:r w:rsidRPr="0050212E">
        <w:rPr>
          <w:rFonts w:ascii="Roboto" w:eastAsia="Times New Roman" w:hAnsi="Roboto" w:cs="Times New Roman"/>
          <w:color w:val="000000"/>
          <w:sz w:val="21"/>
          <w:szCs w:val="21"/>
          <w:lang w:eastAsia="en-GB"/>
        </w:rPr>
        <w:t>) explore a sample of PWA's views on image types and preferences; and (ii) describe image selection and use considerations to support their communication.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A custom-designed, adapted 30-item verbal survey was completed individually with 12 participants with mild to moderate chronic aphasia using pictorial supports and aided conversation techniques over a videoconferencing platform. Descriptive and inferential statistics were employed.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Participants preferred using coloured photographs (n = 11) and picture scenes (n = 10) obtained from personal photographs, the internet, and social media. Key considerations for image selection included clarity, transparency, and meaningfulness. Image preferences also varied based on message type (i.e., naming vs. action messages). Notably, participants were more confident using images (n = 10) than selecting them (n = 8). </w:t>
      </w:r>
      <w:r w:rsidRPr="0050212E">
        <w:rPr>
          <w:rFonts w:ascii="Roboto" w:eastAsia="Times New Roman" w:hAnsi="Roboto" w:cs="Times New Roman"/>
          <w:b/>
          <w:bCs/>
          <w:color w:val="000000"/>
          <w:sz w:val="21"/>
          <w:szCs w:val="21"/>
          <w:lang w:eastAsia="en-GB"/>
        </w:rPr>
        <w:t>CONCLUSION</w:t>
      </w:r>
      <w:r w:rsidRPr="0050212E">
        <w:rPr>
          <w:rFonts w:ascii="Roboto" w:eastAsia="Times New Roman" w:hAnsi="Roboto" w:cs="Times New Roman"/>
          <w:color w:val="000000"/>
          <w:sz w:val="21"/>
          <w:szCs w:val="21"/>
          <w:lang w:eastAsia="en-GB"/>
        </w:rPr>
        <w:t>: This study provides preliminary insights into image selection and use among a small sample of persons with mild to moderate aphasia. The findings suggest that collaborative efforts with PWA to support their image selection process could optimise image use as communication support. However, further research with larger and more diverse samples of persons with varying aphasia severity is warranted to expand on these findings.</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9" w:tgtFrame="_blank" w:history="1">
        <w:r w:rsidRPr="0050212E">
          <w:rPr>
            <w:rFonts w:ascii="Roboto" w:eastAsia="Times New Roman" w:hAnsi="Roboto" w:cs="Times New Roman"/>
            <w:color w:val="0066CC"/>
            <w:sz w:val="21"/>
            <w:szCs w:val="21"/>
            <w:lang w:eastAsia="en-GB"/>
          </w:rPr>
          <w:t>https://libkey.io/10.1159/000552766</w:t>
        </w:r>
      </w:hyperlink>
    </w:p>
    <w:p w14:paraId="05C01002" w14:textId="05156846"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4. </w:t>
      </w:r>
      <w:r w:rsidRPr="0050212E">
        <w:rPr>
          <w:rFonts w:ascii="Roboto" w:eastAsia="Times New Roman" w:hAnsi="Roboto" w:cs="Times New Roman"/>
          <w:b/>
          <w:bCs/>
          <w:color w:val="000000"/>
          <w:sz w:val="21"/>
          <w:szCs w:val="21"/>
          <w:lang w:eastAsia="en-GB"/>
        </w:rPr>
        <w:t>Retrospective analysis of the relationship between post-stroke fatigue and aphasia severity.</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Riley, Ellyn </w:t>
      </w:r>
      <w:proofErr w:type="spellStart"/>
      <w:proofErr w:type="gramStart"/>
      <w:r w:rsidRPr="0050212E">
        <w:rPr>
          <w:rFonts w:ascii="Roboto" w:eastAsia="Times New Roman" w:hAnsi="Roboto" w:cs="Times New Roman"/>
          <w:color w:val="000000"/>
          <w:sz w:val="21"/>
          <w:szCs w:val="21"/>
          <w:lang w:eastAsia="en-GB"/>
        </w:rPr>
        <w:t>A.;Quique</w:t>
      </w:r>
      <w:proofErr w:type="spellEnd"/>
      <w:proofErr w:type="gramEnd"/>
      <w:r w:rsidRPr="0050212E">
        <w:rPr>
          <w:rFonts w:ascii="Roboto" w:eastAsia="Times New Roman" w:hAnsi="Roboto" w:cs="Times New Roman"/>
          <w:color w:val="000000"/>
          <w:sz w:val="21"/>
          <w:szCs w:val="21"/>
          <w:lang w:eastAsia="en-GB"/>
        </w:rPr>
        <w:t xml:space="preserve">, Yina </w:t>
      </w:r>
      <w:proofErr w:type="spellStart"/>
      <w:proofErr w:type="gramStart"/>
      <w:r w:rsidRPr="0050212E">
        <w:rPr>
          <w:rFonts w:ascii="Roboto" w:eastAsia="Times New Roman" w:hAnsi="Roboto" w:cs="Times New Roman"/>
          <w:color w:val="000000"/>
          <w:sz w:val="21"/>
          <w:szCs w:val="21"/>
          <w:lang w:eastAsia="en-GB"/>
        </w:rPr>
        <w:t>M.;Haley</w:t>
      </w:r>
      <w:proofErr w:type="spellEnd"/>
      <w:proofErr w:type="gramEnd"/>
      <w:r w:rsidRPr="0050212E">
        <w:rPr>
          <w:rFonts w:ascii="Roboto" w:eastAsia="Times New Roman" w:hAnsi="Roboto" w:cs="Times New Roman"/>
          <w:color w:val="000000"/>
          <w:sz w:val="21"/>
          <w:szCs w:val="21"/>
          <w:lang w:eastAsia="en-GB"/>
        </w:rPr>
        <w:t xml:space="preserve">, Katarina </w:t>
      </w:r>
      <w:proofErr w:type="spellStart"/>
      <w:proofErr w:type="gramStart"/>
      <w:r w:rsidRPr="0050212E">
        <w:rPr>
          <w:rFonts w:ascii="Roboto" w:eastAsia="Times New Roman" w:hAnsi="Roboto" w:cs="Times New Roman"/>
          <w:color w:val="000000"/>
          <w:sz w:val="21"/>
          <w:szCs w:val="21"/>
          <w:lang w:eastAsia="en-GB"/>
        </w:rPr>
        <w:t>L.;Jacks</w:t>
      </w:r>
      <w:proofErr w:type="spellEnd"/>
      <w:proofErr w:type="gramEnd"/>
      <w:r w:rsidRPr="0050212E">
        <w:rPr>
          <w:rFonts w:ascii="Roboto" w:eastAsia="Times New Roman" w:hAnsi="Roboto" w:cs="Times New Roman"/>
          <w:color w:val="000000"/>
          <w:sz w:val="21"/>
          <w:szCs w:val="21"/>
          <w:lang w:eastAsia="en-GB"/>
        </w:rPr>
        <w:t>, Adam and Richardson, Jessica D.</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Archives of Physical Medicine &amp; Rehabilitation</w:t>
      </w:r>
      <w:r>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OBJECTIVE</w:t>
      </w:r>
      <w:r w:rsidRPr="0050212E">
        <w:rPr>
          <w:rFonts w:ascii="Roboto" w:eastAsia="Times New Roman" w:hAnsi="Roboto" w:cs="Times New Roman"/>
          <w:color w:val="000000"/>
          <w:sz w:val="21"/>
          <w:szCs w:val="21"/>
          <w:lang w:eastAsia="en-GB"/>
        </w:rPr>
        <w:t>: To characterize post-stroke fatigue in people with aphasia (PWA) and to investigate the relationship between aphasia severity and fatigue. </w:t>
      </w:r>
      <w:r w:rsidRPr="0050212E">
        <w:rPr>
          <w:rFonts w:ascii="Roboto" w:eastAsia="Times New Roman" w:hAnsi="Roboto" w:cs="Times New Roman"/>
          <w:b/>
          <w:bCs/>
          <w:color w:val="000000"/>
          <w:sz w:val="21"/>
          <w:szCs w:val="21"/>
          <w:lang w:eastAsia="en-GB"/>
        </w:rPr>
        <w:t>DESIGN</w:t>
      </w:r>
      <w:r w:rsidRPr="0050212E">
        <w:rPr>
          <w:rFonts w:ascii="Roboto" w:eastAsia="Times New Roman" w:hAnsi="Roboto" w:cs="Times New Roman"/>
          <w:color w:val="000000"/>
          <w:sz w:val="21"/>
          <w:szCs w:val="21"/>
          <w:lang w:eastAsia="en-GB"/>
        </w:rPr>
        <w:t>: Cross-sectional observational design. </w:t>
      </w:r>
      <w:r w:rsidRPr="0050212E">
        <w:rPr>
          <w:rFonts w:ascii="Roboto" w:eastAsia="Times New Roman" w:hAnsi="Roboto" w:cs="Times New Roman"/>
          <w:b/>
          <w:bCs/>
          <w:color w:val="000000"/>
          <w:sz w:val="21"/>
          <w:szCs w:val="21"/>
          <w:lang w:eastAsia="en-GB"/>
        </w:rPr>
        <w:t>SETTING</w:t>
      </w:r>
      <w:r w:rsidRPr="0050212E">
        <w:rPr>
          <w:rFonts w:ascii="Roboto" w:eastAsia="Times New Roman" w:hAnsi="Roboto" w:cs="Times New Roman"/>
          <w:color w:val="000000"/>
          <w:sz w:val="21"/>
          <w:szCs w:val="21"/>
          <w:lang w:eastAsia="en-GB"/>
        </w:rPr>
        <w:t>: University labs or clinic setting at three institutions in the United States, occasionally in participants' homes. </w:t>
      </w:r>
      <w:r w:rsidRPr="0050212E">
        <w:rPr>
          <w:rFonts w:ascii="Roboto" w:eastAsia="Times New Roman" w:hAnsi="Roboto" w:cs="Times New Roman"/>
          <w:b/>
          <w:bCs/>
          <w:color w:val="000000"/>
          <w:sz w:val="21"/>
          <w:szCs w:val="21"/>
          <w:lang w:eastAsia="en-GB"/>
        </w:rPr>
        <w:t>PARTICIPANTS</w:t>
      </w:r>
      <w:r w:rsidRPr="0050212E">
        <w:rPr>
          <w:rFonts w:ascii="Roboto" w:eastAsia="Times New Roman" w:hAnsi="Roboto" w:cs="Times New Roman"/>
          <w:color w:val="000000"/>
          <w:sz w:val="21"/>
          <w:szCs w:val="21"/>
          <w:lang w:eastAsia="en-GB"/>
        </w:rPr>
        <w:t>: Adults with chronic post-stroke aphasia (n=73), English reported as primary language before stroke onset (mean age=59.4 years; 61.6% male; mean time post onset=44.4 months). Aphasia severity, as measured by the Western Aphasia Battery-Revised (WAB-R), ranged from severe to very mild (scores of 14.7 to 100), with the majority (over 68%) presenting with mild to moderate impairment (scores 76-100). </w:t>
      </w:r>
      <w:r w:rsidRPr="0050212E">
        <w:rPr>
          <w:rFonts w:ascii="Roboto" w:eastAsia="Times New Roman" w:hAnsi="Roboto" w:cs="Times New Roman"/>
          <w:b/>
          <w:bCs/>
          <w:color w:val="000000"/>
          <w:sz w:val="21"/>
          <w:szCs w:val="21"/>
          <w:lang w:eastAsia="en-GB"/>
        </w:rPr>
        <w:t>INTERVENTIONS</w:t>
      </w:r>
      <w:r w:rsidRPr="0050212E">
        <w:rPr>
          <w:rFonts w:ascii="Roboto" w:eastAsia="Times New Roman" w:hAnsi="Roboto" w:cs="Times New Roman"/>
          <w:color w:val="000000"/>
          <w:sz w:val="21"/>
          <w:szCs w:val="21"/>
          <w:lang w:eastAsia="en-GB"/>
        </w:rPr>
        <w:t>: Not applicable. </w:t>
      </w:r>
      <w:r w:rsidRPr="0050212E">
        <w:rPr>
          <w:rFonts w:ascii="Roboto" w:eastAsia="Times New Roman" w:hAnsi="Roboto" w:cs="Times New Roman"/>
          <w:b/>
          <w:bCs/>
          <w:color w:val="000000"/>
          <w:sz w:val="21"/>
          <w:szCs w:val="21"/>
          <w:lang w:eastAsia="en-GB"/>
        </w:rPr>
        <w:t>MAIN OUTCOME MEASURES</w:t>
      </w:r>
      <w:r w:rsidRPr="0050212E">
        <w:rPr>
          <w:rFonts w:ascii="Roboto" w:eastAsia="Times New Roman" w:hAnsi="Roboto" w:cs="Times New Roman"/>
          <w:color w:val="000000"/>
          <w:sz w:val="21"/>
          <w:szCs w:val="21"/>
          <w:lang w:eastAsia="en-GB"/>
        </w:rPr>
        <w:t xml:space="preserve">: The WAB-R was used to measure aphasia severity (Aphasia Quotient). The Multidimensional Assessment of Fatigue (MAF) measured post-stroke fatigue using the </w:t>
      </w:r>
      <w:r w:rsidRPr="0050212E">
        <w:rPr>
          <w:rFonts w:ascii="Roboto" w:eastAsia="Times New Roman" w:hAnsi="Roboto" w:cs="Times New Roman"/>
          <w:color w:val="000000"/>
          <w:sz w:val="21"/>
          <w:szCs w:val="21"/>
          <w:lang w:eastAsia="en-GB"/>
        </w:rPr>
        <w:lastRenderedPageBreak/>
        <w:t>Global Fatigue Index (GFI), consisting of four dimensions: severity, distress, interference, and timing.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Participants reported moderate ratings of fatigue across all MAF dimensions, with substantial individual variability. Bayesian regression showed that higher WAB-R scores were associated with greater fatigue (beta=0.31, 95% CI: 0.06, 0.55), but age and gender were not.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Participants with milder aphasia reported greater post-stroke fatigue than those with more severe impairments. These findings suggest that compensatory cognitive demands and elevated communication expectations that are associated with milder language deficits may contribute to increased fatigue burden. Results emphasize the need for routine fatigue screening across all aphasia severity levels and support reconceptualizing mild aphasia as potentially involving substantial hidden costs.</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10" w:tgtFrame="_blank" w:history="1">
        <w:r w:rsidRPr="0050212E">
          <w:rPr>
            <w:rFonts w:ascii="Roboto" w:eastAsia="Times New Roman" w:hAnsi="Roboto" w:cs="Times New Roman"/>
            <w:color w:val="0066CC"/>
            <w:sz w:val="21"/>
            <w:szCs w:val="21"/>
            <w:lang w:eastAsia="en-GB"/>
          </w:rPr>
          <w:t>https://libkey.io/10.1016/j.apmr.2026.07.002</w:t>
        </w:r>
      </w:hyperlink>
    </w:p>
    <w:p w14:paraId="14D2C4F3" w14:textId="211599E7" w:rsidR="003E7AE2" w:rsidRDefault="0050212E" w:rsidP="0050212E">
      <w:r w:rsidRPr="0050212E">
        <w:rPr>
          <w:rFonts w:ascii="Roboto" w:eastAsia="Times New Roman" w:hAnsi="Roboto" w:cs="Times New Roman"/>
          <w:i/>
          <w:iCs/>
          <w:color w:val="000000"/>
          <w:sz w:val="21"/>
          <w:szCs w:val="21"/>
          <w:shd w:val="clear" w:color="auto" w:fill="FFFFFF"/>
          <w:lang w:eastAsia="en-GB"/>
        </w:rPr>
        <w:t>You will need your </w:t>
      </w:r>
      <w:hyperlink r:id="rId11" w:history="1">
        <w:r w:rsidRPr="0050212E">
          <w:rPr>
            <w:rFonts w:ascii="Roboto" w:eastAsia="Times New Roman" w:hAnsi="Roboto" w:cs="Times New Roman"/>
            <w:i/>
            <w:iCs/>
            <w:color w:val="0066CC"/>
            <w:sz w:val="21"/>
            <w:szCs w:val="21"/>
            <w:lang w:eastAsia="en-GB"/>
          </w:rPr>
          <w:t>NHS OpenAthens account</w:t>
        </w:r>
      </w:hyperlink>
      <w:r w:rsidRPr="0050212E">
        <w:rPr>
          <w:rFonts w:ascii="Roboto" w:eastAsia="Times New Roman" w:hAnsi="Roboto" w:cs="Times New Roman"/>
          <w:i/>
          <w:iCs/>
          <w:color w:val="000000"/>
          <w:sz w:val="21"/>
          <w:szCs w:val="21"/>
          <w:shd w:val="clear" w:color="auto" w:fill="FFFFFF"/>
          <w:lang w:eastAsia="en-GB"/>
        </w:rPr>
        <w:t> to access the full text of licenced content.</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i/>
          <w:iCs/>
          <w:color w:val="000000"/>
          <w:sz w:val="21"/>
          <w:szCs w:val="21"/>
          <w:shd w:val="clear" w:color="auto" w:fill="FFFFFF"/>
          <w:lang w:eastAsia="en-GB"/>
        </w:rPr>
        <w:t>This service is provided to the NHS in England by NHSE Workforce, Training &amp; Education.</w:t>
      </w:r>
    </w:p>
    <w:p w14:paraId="74DA4E74" w14:textId="77777777" w:rsidR="003E7AE2" w:rsidRDefault="003E7AE2" w:rsidP="003E7AE2">
      <w:pPr>
        <w:pStyle w:val="Heading1"/>
      </w:pPr>
      <w:bookmarkStart w:id="1" w:name="_Toc236661548"/>
      <w:r>
        <w:t>Dysarthria</w:t>
      </w:r>
      <w:bookmarkEnd w:id="1"/>
    </w:p>
    <w:p w14:paraId="1E34E582" w14:textId="0CB0023E"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1. </w:t>
      </w:r>
      <w:r w:rsidRPr="0050212E">
        <w:rPr>
          <w:rFonts w:ascii="Roboto" w:eastAsia="Times New Roman" w:hAnsi="Roboto" w:cs="Times New Roman"/>
          <w:b/>
          <w:bCs/>
          <w:color w:val="000000"/>
          <w:sz w:val="21"/>
          <w:szCs w:val="21"/>
          <w:lang w:eastAsia="en-GB"/>
        </w:rPr>
        <w:t>Dysphagia and Dysarthria in Neurodegenerative Diseases: A Multisystem Network Approach to Assessment and Management</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Fiorella, Maria </w:t>
      </w:r>
      <w:proofErr w:type="spellStart"/>
      <w:r w:rsidRPr="0050212E">
        <w:rPr>
          <w:rFonts w:ascii="Roboto" w:eastAsia="Times New Roman" w:hAnsi="Roboto" w:cs="Times New Roman"/>
          <w:color w:val="000000"/>
          <w:sz w:val="21"/>
          <w:szCs w:val="21"/>
          <w:lang w:eastAsia="en-GB"/>
        </w:rPr>
        <w:t>Luisa;Ballini</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Luca;Lavermicocca</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Valentina;Ragno</w:t>
      </w:r>
      <w:proofErr w:type="spellEnd"/>
      <w:r w:rsidRPr="0050212E">
        <w:rPr>
          <w:rFonts w:ascii="Roboto" w:eastAsia="Times New Roman" w:hAnsi="Roboto" w:cs="Times New Roman"/>
          <w:color w:val="000000"/>
          <w:sz w:val="21"/>
          <w:szCs w:val="21"/>
          <w:lang w:eastAsia="en-GB"/>
        </w:rPr>
        <w:t xml:space="preserve">, Maria </w:t>
      </w:r>
      <w:proofErr w:type="spellStart"/>
      <w:r w:rsidRPr="0050212E">
        <w:rPr>
          <w:rFonts w:ascii="Roboto" w:eastAsia="Times New Roman" w:hAnsi="Roboto" w:cs="Times New Roman"/>
          <w:color w:val="000000"/>
          <w:sz w:val="21"/>
          <w:szCs w:val="21"/>
          <w:lang w:eastAsia="en-GB"/>
        </w:rPr>
        <w:t>Sterpeta;Restivo</w:t>
      </w:r>
      <w:proofErr w:type="spellEnd"/>
      <w:r w:rsidRPr="0050212E">
        <w:rPr>
          <w:rFonts w:ascii="Roboto" w:eastAsia="Times New Roman" w:hAnsi="Roboto" w:cs="Times New Roman"/>
          <w:color w:val="000000"/>
          <w:sz w:val="21"/>
          <w:szCs w:val="21"/>
          <w:lang w:eastAsia="en-GB"/>
        </w:rPr>
        <w:t>, Domenico A. and Marchese-Ragona, Rosario</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Jan 12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Audiology Research 16(1)</w:t>
      </w:r>
      <w:r>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Dysphagia and dysarthria are common, co-occurring manifestations in neurodegenerative diseases, resulting from damage to distributed neural networks involving cortical, subcortical, cerebellar, and brainstem regions. These disorders profoundly affect patient health and quality of life through complex sensorimotor impairments. </w:t>
      </w:r>
      <w:r w:rsidRPr="0050212E">
        <w:rPr>
          <w:rFonts w:ascii="Roboto" w:eastAsia="Times New Roman" w:hAnsi="Roboto" w:cs="Times New Roman"/>
          <w:b/>
          <w:bCs/>
          <w:color w:val="000000"/>
          <w:sz w:val="21"/>
          <w:szCs w:val="21"/>
          <w:lang w:eastAsia="en-GB"/>
        </w:rPr>
        <w:t>Objective</w:t>
      </w:r>
      <w:r w:rsidRPr="0050212E">
        <w:rPr>
          <w:rFonts w:ascii="Roboto" w:eastAsia="Times New Roman" w:hAnsi="Roboto" w:cs="Times New Roman"/>
          <w:color w:val="000000"/>
          <w:sz w:val="21"/>
          <w:szCs w:val="21"/>
          <w:lang w:eastAsia="en-GB"/>
        </w:rPr>
        <w:t>: The aims was to provide a comprehensive, evidence-based review of the neuroanatomical substrates, pathophysiology, diagnostic approaches, and management strategies for dysphagia and dysarthria in neurodegenerative diseases with emphasis on their multisystem nature and integrated treatment approaches.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A narrative literature review was conducted using PubMed, Scopus, and Web of Science databases (2000-2024), focusing on Parkinson's disease (PD), amyotrophic lateral sclerosis (ALS), progressive supranuclear palsy (PSP), and multiple system atrophy (MSA). Search terms included "dysphagia", "dysarthria", "neurodegenerative diseases", "neural networks", "swallowing control" and "speech production." Studies on neuroanatomy, pathophysiology, diagnostic tools, and therapeutic interventions were included.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xml:space="preserve">: Contemporary neuroscience demonstrates that swallowing and speech control involve extensive neural networks beyond the brainstem, including bilateral sensorimotor cortex, insula, cingulate gyrus, basal ganglia, and cerebellum. Disease-specific patterns reflect multisystem involvement: PD affects basal ganglia and multiple brainstem nuclei; ALS involves cortical and brainstem motor neurons; MSA causes widespread autonomic and motor degeneration; PSP produces tau-related damage across multiple brain regions. Diagnostic approaches combining </w:t>
      </w:r>
      <w:proofErr w:type="spellStart"/>
      <w:r w:rsidRPr="0050212E">
        <w:rPr>
          <w:rFonts w:ascii="Roboto" w:eastAsia="Times New Roman" w:hAnsi="Roboto" w:cs="Times New Roman"/>
          <w:color w:val="000000"/>
          <w:sz w:val="21"/>
          <w:szCs w:val="21"/>
          <w:lang w:eastAsia="en-GB"/>
        </w:rPr>
        <w:t>fiberoptic</w:t>
      </w:r>
      <w:proofErr w:type="spellEnd"/>
      <w:r w:rsidRPr="0050212E">
        <w:rPr>
          <w:rFonts w:ascii="Roboto" w:eastAsia="Times New Roman" w:hAnsi="Roboto" w:cs="Times New Roman"/>
          <w:color w:val="000000"/>
          <w:sz w:val="21"/>
          <w:szCs w:val="21"/>
          <w:lang w:eastAsia="en-GB"/>
        </w:rPr>
        <w:t xml:space="preserve"> endoscopic evaluation, </w:t>
      </w:r>
      <w:proofErr w:type="spellStart"/>
      <w:r w:rsidRPr="0050212E">
        <w:rPr>
          <w:rFonts w:ascii="Roboto" w:eastAsia="Times New Roman" w:hAnsi="Roboto" w:cs="Times New Roman"/>
          <w:color w:val="000000"/>
          <w:sz w:val="21"/>
          <w:szCs w:val="21"/>
          <w:lang w:eastAsia="en-GB"/>
        </w:rPr>
        <w:t>videofluoroscopy</w:t>
      </w:r>
      <w:proofErr w:type="spellEnd"/>
      <w:r w:rsidRPr="0050212E">
        <w:rPr>
          <w:rFonts w:ascii="Roboto" w:eastAsia="Times New Roman" w:hAnsi="Roboto" w:cs="Times New Roman"/>
          <w:color w:val="000000"/>
          <w:sz w:val="21"/>
          <w:szCs w:val="21"/>
          <w:lang w:eastAsia="en-GB"/>
        </w:rPr>
        <w:t>, acoustic analysis, and neuroimaging enable precise characterization. Management requires multidisciplinary Integrated teams implementing coordinated speech-swallowing therapy, pharmacological interventions, and assistive technologies.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Dysphagia and dysarthria in neurodegenerative diseases result from multifocal brain damage affecting distributed neural networks. Understanding this multisystem pathophysiology enables more effective integrated assessment and treatment approaches, enhancing patient outcomes and quality of life.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Access or request full text: </w:t>
      </w:r>
      <w:hyperlink r:id="rId12" w:tgtFrame="_blank" w:history="1">
        <w:r w:rsidRPr="0050212E">
          <w:rPr>
            <w:rFonts w:ascii="Roboto" w:eastAsia="Times New Roman" w:hAnsi="Roboto" w:cs="Times New Roman"/>
            <w:color w:val="0066CC"/>
            <w:sz w:val="21"/>
            <w:szCs w:val="21"/>
            <w:lang w:eastAsia="en-GB"/>
          </w:rPr>
          <w:t>https://libkey.io/10.3390/audiolres16010009</w:t>
        </w:r>
      </w:hyperlink>
    </w:p>
    <w:p w14:paraId="6E556971" w14:textId="178DB7F7"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2. </w:t>
      </w:r>
      <w:r w:rsidRPr="0050212E">
        <w:rPr>
          <w:rFonts w:ascii="Roboto" w:eastAsia="Times New Roman" w:hAnsi="Roboto" w:cs="Times New Roman"/>
          <w:b/>
          <w:bCs/>
          <w:color w:val="000000"/>
          <w:sz w:val="21"/>
          <w:szCs w:val="21"/>
          <w:lang w:eastAsia="en-GB"/>
        </w:rPr>
        <w:t>Multidimensional Measurements of Dysarthria in Myotonic Dystrophy Type 1.</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w:t>
      </w:r>
      <w:proofErr w:type="spellStart"/>
      <w:r w:rsidRPr="0050212E">
        <w:rPr>
          <w:rFonts w:ascii="Roboto" w:eastAsia="Times New Roman" w:hAnsi="Roboto" w:cs="Times New Roman"/>
          <w:color w:val="000000"/>
          <w:sz w:val="21"/>
          <w:szCs w:val="21"/>
          <w:lang w:eastAsia="en-GB"/>
        </w:rPr>
        <w:t>Hellemond</w:t>
      </w:r>
      <w:proofErr w:type="spellEnd"/>
      <w:r w:rsidRPr="0050212E">
        <w:rPr>
          <w:rFonts w:ascii="Roboto" w:eastAsia="Times New Roman" w:hAnsi="Roboto" w:cs="Times New Roman"/>
          <w:color w:val="000000"/>
          <w:sz w:val="21"/>
          <w:szCs w:val="21"/>
          <w:lang w:eastAsia="en-GB"/>
        </w:rPr>
        <w:t xml:space="preserve">, Sanne </w:t>
      </w:r>
      <w:proofErr w:type="spellStart"/>
      <w:proofErr w:type="gramStart"/>
      <w:r w:rsidRPr="0050212E">
        <w:rPr>
          <w:rFonts w:ascii="Roboto" w:eastAsia="Times New Roman" w:hAnsi="Roboto" w:cs="Times New Roman"/>
          <w:color w:val="000000"/>
          <w:sz w:val="21"/>
          <w:szCs w:val="21"/>
          <w:lang w:eastAsia="en-GB"/>
        </w:rPr>
        <w:t>van;Voet</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Nicole;Kroon</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Rosemarie;Sahin</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Yelda;Karnebeek</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Ilse;Nijkamp</w:t>
      </w:r>
      <w:proofErr w:type="spellEnd"/>
      <w:proofErr w:type="gramEnd"/>
      <w:r w:rsidRPr="0050212E">
        <w:rPr>
          <w:rFonts w:ascii="Roboto" w:eastAsia="Times New Roman" w:hAnsi="Roboto" w:cs="Times New Roman"/>
          <w:color w:val="000000"/>
          <w:sz w:val="21"/>
          <w:szCs w:val="21"/>
          <w:lang w:eastAsia="en-GB"/>
        </w:rPr>
        <w:t xml:space="preserve">, Marthe and </w:t>
      </w:r>
      <w:proofErr w:type="spellStart"/>
      <w:r w:rsidRPr="0050212E">
        <w:rPr>
          <w:rFonts w:ascii="Roboto" w:eastAsia="Times New Roman" w:hAnsi="Roboto" w:cs="Times New Roman"/>
          <w:color w:val="000000"/>
          <w:sz w:val="21"/>
          <w:szCs w:val="21"/>
          <w:lang w:eastAsia="en-GB"/>
        </w:rPr>
        <w:t>Knuijt</w:t>
      </w:r>
      <w:proofErr w:type="spellEnd"/>
      <w:r w:rsidRPr="0050212E">
        <w:rPr>
          <w:rFonts w:ascii="Roboto" w:eastAsia="Times New Roman" w:hAnsi="Roboto" w:cs="Times New Roman"/>
          <w:color w:val="000000"/>
          <w:sz w:val="21"/>
          <w:szCs w:val="21"/>
          <w:lang w:eastAsia="en-GB"/>
        </w:rPr>
        <w:t>, Simone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International Journal of Language &amp; Communication Disorders 61(3), pp. e70239</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Myotonic dystrophy type 1 (DM1) is a heterogeneous neuromuscular disorder characterized by progressive muscle weakness and myotonia. Dysarthria is a known symptom of DM1, but literature is lacking about the patient's own perception in relationship to dysarthria characteristics and severity. </w:t>
      </w:r>
      <w:r w:rsidRPr="0050212E">
        <w:rPr>
          <w:rFonts w:ascii="Roboto" w:eastAsia="Times New Roman" w:hAnsi="Roboto" w:cs="Times New Roman"/>
          <w:b/>
          <w:bCs/>
          <w:color w:val="000000"/>
          <w:sz w:val="21"/>
          <w:szCs w:val="21"/>
          <w:lang w:eastAsia="en-GB"/>
        </w:rPr>
        <w:t>AIMS</w:t>
      </w:r>
      <w:r w:rsidRPr="0050212E">
        <w:rPr>
          <w:rFonts w:ascii="Roboto" w:eastAsia="Times New Roman" w:hAnsi="Roboto" w:cs="Times New Roman"/>
          <w:color w:val="000000"/>
          <w:sz w:val="21"/>
          <w:szCs w:val="21"/>
          <w:lang w:eastAsia="en-GB"/>
        </w:rPr>
        <w:t>: The aim of the study was to describe the acoustic speech characteristics of dysarthria in patients with DM1, examine the perceptually determined dysarthria severity through speech and language therapy assessment, gather subjective evaluations of speech and intelligibility from patients and relatives and examine the relationship between these outcomes. </w:t>
      </w:r>
      <w:r w:rsidRPr="0050212E">
        <w:rPr>
          <w:rFonts w:ascii="Roboto" w:eastAsia="Times New Roman" w:hAnsi="Roboto" w:cs="Times New Roman"/>
          <w:b/>
          <w:bCs/>
          <w:color w:val="000000"/>
          <w:sz w:val="21"/>
          <w:szCs w:val="21"/>
          <w:lang w:eastAsia="en-GB"/>
        </w:rPr>
        <w:t>METHODS AND PROCEDURES</w:t>
      </w:r>
      <w:r w:rsidRPr="0050212E">
        <w:rPr>
          <w:rFonts w:ascii="Roboto" w:eastAsia="Times New Roman" w:hAnsi="Roboto" w:cs="Times New Roman"/>
          <w:color w:val="000000"/>
          <w:sz w:val="21"/>
          <w:szCs w:val="21"/>
          <w:lang w:eastAsia="en-GB"/>
        </w:rPr>
        <w:t xml:space="preserve">: The speech of 22 adult patients with DM1 (nine females) was acoustically assessed during spontaneous speech, reading, and maximum performance tasks and analysed using the </w:t>
      </w:r>
      <w:proofErr w:type="spellStart"/>
      <w:r w:rsidRPr="0050212E">
        <w:rPr>
          <w:rFonts w:ascii="Roboto" w:eastAsia="Times New Roman" w:hAnsi="Roboto" w:cs="Times New Roman"/>
          <w:color w:val="000000"/>
          <w:sz w:val="21"/>
          <w:szCs w:val="21"/>
          <w:lang w:eastAsia="en-GB"/>
        </w:rPr>
        <w:t>Praat</w:t>
      </w:r>
      <w:proofErr w:type="spellEnd"/>
      <w:r w:rsidRPr="0050212E">
        <w:rPr>
          <w:rFonts w:ascii="Roboto" w:eastAsia="Times New Roman" w:hAnsi="Roboto" w:cs="Times New Roman"/>
          <w:color w:val="000000"/>
          <w:sz w:val="21"/>
          <w:szCs w:val="21"/>
          <w:lang w:eastAsia="en-GB"/>
        </w:rPr>
        <w:t>-software. Dysarthria severity was rated on a severity scale from 0 (no dysarthria) - 5 (very severe dysarthria/anarthria). Patients and relatives rated the speech with a short questionnaire and a visual analogue scale (VAS). </w:t>
      </w:r>
      <w:r w:rsidRPr="0050212E">
        <w:rPr>
          <w:rFonts w:ascii="Roboto" w:eastAsia="Times New Roman" w:hAnsi="Roboto" w:cs="Times New Roman"/>
          <w:b/>
          <w:bCs/>
          <w:color w:val="000000"/>
          <w:sz w:val="21"/>
          <w:szCs w:val="21"/>
          <w:lang w:eastAsia="en-GB"/>
        </w:rPr>
        <w:t>OUTCOMES AND RESULTS</w:t>
      </w:r>
      <w:r w:rsidRPr="0050212E">
        <w:rPr>
          <w:rFonts w:ascii="Roboto" w:eastAsia="Times New Roman" w:hAnsi="Roboto" w:cs="Times New Roman"/>
          <w:color w:val="000000"/>
          <w:sz w:val="21"/>
          <w:szCs w:val="21"/>
          <w:lang w:eastAsia="en-GB"/>
        </w:rPr>
        <w:t>: Acoustic analysis showed a deviant speech rate (SR), articulation rate (AR), maximum phonation volume (MPV), and fundamental frequency range compared to normative values. Perceptually, the dysarthria severity scores varied between 1 (minimal dysarthria) and 4 (severe dysarthria). In more severe dysarthria, SR, AR, and MPV decreased. Patients were sufficiently satisfied about their speech, with no relationship to dysarthria severity. However, the scores of relatives decreased when perceptual dysarthria severity increased. </w:t>
      </w:r>
      <w:r w:rsidRPr="0050212E">
        <w:rPr>
          <w:rFonts w:ascii="Roboto" w:eastAsia="Times New Roman" w:hAnsi="Roboto" w:cs="Times New Roman"/>
          <w:b/>
          <w:bCs/>
          <w:color w:val="000000"/>
          <w:sz w:val="21"/>
          <w:szCs w:val="21"/>
          <w:lang w:eastAsia="en-GB"/>
        </w:rPr>
        <w:t>CONCLUSION AND IMPLICATIONS</w:t>
      </w:r>
      <w:r w:rsidRPr="0050212E">
        <w:rPr>
          <w:rFonts w:ascii="Roboto" w:eastAsia="Times New Roman" w:hAnsi="Roboto" w:cs="Times New Roman"/>
          <w:color w:val="000000"/>
          <w:sz w:val="21"/>
          <w:szCs w:val="21"/>
          <w:lang w:eastAsia="en-GB"/>
        </w:rPr>
        <w:t>: As dysarthria severity increased, speech quality and intelligibility declined, particularly when assessed by speech therapists and relatives. Patients with DM1 generally reported minimal conversational restrictions due to dysarthria. Multidimensional measurements may improve the understanding of speech impairment in DM1. Self-awareness should be a topic in speech therapy interventions. </w:t>
      </w:r>
      <w:r w:rsidRPr="0050212E">
        <w:rPr>
          <w:rFonts w:ascii="Roboto" w:eastAsia="Times New Roman" w:hAnsi="Roboto" w:cs="Times New Roman"/>
          <w:b/>
          <w:bCs/>
          <w:color w:val="000000"/>
          <w:sz w:val="21"/>
          <w:szCs w:val="21"/>
          <w:lang w:eastAsia="en-GB"/>
        </w:rPr>
        <w:t>WHAT THIS PAPER ADDS</w:t>
      </w:r>
      <w:r w:rsidRPr="0050212E">
        <w:rPr>
          <w:rFonts w:ascii="Roboto" w:eastAsia="Times New Roman" w:hAnsi="Roboto" w:cs="Times New Roman"/>
          <w:color w:val="000000"/>
          <w:sz w:val="21"/>
          <w:szCs w:val="21"/>
          <w:lang w:eastAsia="en-GB"/>
        </w:rPr>
        <w:t xml:space="preserve">: What is already known on this subject Dysarthria is a common symptom in myotonic dystrophy type 1 (DM1). Research has focused on articulatory accuracy and SR. Cognitive decline in patients with DM1 is known to reduce illness insight in approximately half of the cases. However, its impact on self-awareness of dysarthria, and how this compares to perceptions of relatives and speech therapists, had not been investigated prior to this study. The combination of acoustic and perceptual speech measures with patients' own perspectives provides new knowledge of speech monitoring in DM1. What this study adds to existing knowledge This is the first study to investigate speech in patients with DM1 using both acoustic and perceptual analyses, while simultaneously examining the relationship with patients' self-awareness of their speech impairments. The results of this study show a relationship between increasing perceptual dysarthria severity and decreasing acoustic speech performance. Patients often rate their own speech more optimistically than relatives and speech therapists, which suggests a possible role of neuropsychological impairment in reduced self-awareness of speech deficits in DM1, warranting further research. What are the potential or actual clinical implications of this study? The integration of acoustic and perceptual speech assessment allows an objective and accurate diagnosis of dysarthria in DM1. Speech therapy should focus on improving speech clarity and intelligibility by developing exercises for articulatory precision and respiratory control. The discrepancy between how patients perceive their own </w:t>
      </w:r>
      <w:r w:rsidRPr="0050212E">
        <w:rPr>
          <w:rFonts w:ascii="Roboto" w:eastAsia="Times New Roman" w:hAnsi="Roboto" w:cs="Times New Roman"/>
          <w:color w:val="000000"/>
          <w:sz w:val="21"/>
          <w:szCs w:val="21"/>
          <w:lang w:eastAsia="en-GB"/>
        </w:rPr>
        <w:lastRenderedPageBreak/>
        <w:t>speech and the opinion of clinicians and relatives suggests that speech therapists may need to focus on raising awareness of the dysarthria and actively involve relatives in the therapeutic process.</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13" w:tgtFrame="_blank" w:history="1">
        <w:r w:rsidRPr="0050212E">
          <w:rPr>
            <w:rFonts w:ascii="Roboto" w:eastAsia="Times New Roman" w:hAnsi="Roboto" w:cs="Times New Roman"/>
            <w:color w:val="0066CC"/>
            <w:sz w:val="21"/>
            <w:szCs w:val="21"/>
            <w:lang w:eastAsia="en-GB"/>
          </w:rPr>
          <w:t>https://libkey.io/10.1111/1460-6984.70239</w:t>
        </w:r>
      </w:hyperlink>
    </w:p>
    <w:p w14:paraId="5DBAFD40" w14:textId="585CA326"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3. </w:t>
      </w:r>
      <w:r w:rsidRPr="0050212E">
        <w:rPr>
          <w:rFonts w:ascii="Roboto" w:eastAsia="Times New Roman" w:hAnsi="Roboto" w:cs="Times New Roman"/>
          <w:b/>
          <w:bCs/>
          <w:color w:val="000000"/>
          <w:sz w:val="21"/>
          <w:szCs w:val="21"/>
          <w:lang w:eastAsia="en-GB"/>
        </w:rPr>
        <w:t>Efficacy of Digital Speech Therapy for Poststroke Dysarthria: Randomized Noninferiority Trial.</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Kim, </w:t>
      </w:r>
      <w:proofErr w:type="spellStart"/>
      <w:r w:rsidRPr="0050212E">
        <w:rPr>
          <w:rFonts w:ascii="Roboto" w:eastAsia="Times New Roman" w:hAnsi="Roboto" w:cs="Times New Roman"/>
          <w:color w:val="000000"/>
          <w:sz w:val="21"/>
          <w:szCs w:val="21"/>
          <w:lang w:eastAsia="en-GB"/>
        </w:rPr>
        <w:t>Yuyoung;Kim</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Minjung;Kim</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Saebyeol;Kim</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Jinwoo;Shin</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Joon-Ho;Chang</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Yoonkyung;Na</w:t>
      </w:r>
      <w:proofErr w:type="spellEnd"/>
      <w:r w:rsidRPr="0050212E">
        <w:rPr>
          <w:rFonts w:ascii="Roboto" w:eastAsia="Times New Roman" w:hAnsi="Roboto" w:cs="Times New Roman"/>
          <w:color w:val="000000"/>
          <w:sz w:val="21"/>
          <w:szCs w:val="21"/>
          <w:lang w:eastAsia="en-GB"/>
        </w:rPr>
        <w:t xml:space="preserve">, Ji </w:t>
      </w:r>
      <w:proofErr w:type="spellStart"/>
      <w:r w:rsidRPr="0050212E">
        <w:rPr>
          <w:rFonts w:ascii="Roboto" w:eastAsia="Times New Roman" w:hAnsi="Roboto" w:cs="Times New Roman"/>
          <w:color w:val="000000"/>
          <w:sz w:val="21"/>
          <w:szCs w:val="21"/>
          <w:lang w:eastAsia="en-GB"/>
        </w:rPr>
        <w:t>Young;Kim</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JungWan</w:t>
      </w:r>
      <w:proofErr w:type="spellEnd"/>
      <w:r w:rsidRPr="0050212E">
        <w:rPr>
          <w:rFonts w:ascii="Roboto" w:eastAsia="Times New Roman" w:hAnsi="Roboto" w:cs="Times New Roman"/>
          <w:color w:val="000000"/>
          <w:sz w:val="21"/>
          <w:szCs w:val="21"/>
          <w:lang w:eastAsia="en-GB"/>
        </w:rPr>
        <w:t xml:space="preserve"> and Song, Tae-Jin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May 18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Journal of Medical Internet Research 28, pp. e81938</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Poststroke dysarthria, a common speech impairment, affects up to half of all stroke survivors, often reducing their ability to communicate, and adversely affecting their quality of life. Although conventional speech therapy for poststroke dysarthria is effective, access is often limited by time and geographical constraints. Here, digital speech therapy may serve as a remotely deliverable alternative for selected patients. However, few trials have assessed its efficacy, safety, and usability. </w:t>
      </w:r>
      <w:r w:rsidRPr="0050212E">
        <w:rPr>
          <w:rFonts w:ascii="Roboto" w:eastAsia="Times New Roman" w:hAnsi="Roboto" w:cs="Times New Roman"/>
          <w:b/>
          <w:bCs/>
          <w:color w:val="000000"/>
          <w:sz w:val="21"/>
          <w:szCs w:val="21"/>
          <w:lang w:eastAsia="en-GB"/>
        </w:rPr>
        <w:t>Objective</w:t>
      </w:r>
      <w:r w:rsidRPr="0050212E">
        <w:rPr>
          <w:rFonts w:ascii="Roboto" w:eastAsia="Times New Roman" w:hAnsi="Roboto" w:cs="Times New Roman"/>
          <w:color w:val="000000"/>
          <w:sz w:val="21"/>
          <w:szCs w:val="21"/>
          <w:lang w:eastAsia="en-GB"/>
        </w:rPr>
        <w:t>: This study aimed to evaluate whether a smartphone-based speech therapy app is noninferior to conventional workbook-based therapy in improving speech intelligibility among individuals with poststroke dysarthria.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This single-blind, randomized controlled, noninferiority trial was performed at 3 hospitals in South Korea. Adults (&gt;=19 y) with poststroke dysarthria who were cognitively intact, without aphasia, and able to use a smartphone were eligible. Participants were enrolled between July 20, 2023, and April 15, 2024. Participants were randomly assigned (1:1), stratified by stroke phase, using a block randomization method, to receive either a smartphone-based digital therapy app or a conventional workbook-based therapy for 4 weeks. The primary outcome was speech intelligibility (0-100 perceptual rating) after the intervention. Primary analysis was intention-to-treat using analysis of covariance. A noninferiority margin of 19 points was pre-defined.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A total of 73 participants were enrolled (median age 62.00 years). Among them, 38 were assigned to the digital speech therapy group and 35 to the control group. Intelligibility scores improved from 80.48 (SD 18.92) to 92.08 (SD 12.38) in the intervention group, and from 80.94 (SD 16.74) to 88.11 (SD 18.06) in the control group. The adjusted between-group difference was 4.49 (95% CI 0.61-8.37), and the lower bound of the 95% CI was above the prespecified noninferiority margin (-19), which supported noninferiority. No significant between-group differences were observed in the secondary outcomes related to speech function or psychological status. The system usability score was 89.6, and adherence in the digital speech therapy group was 64.6% based on app logs, with no treatment-related adverse events.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Digital speech therapy was noninferior to conventional workbook-based therapy in improving speech intelligibility and was feasible across acute to early subacute and chronic stroke phases in cognitively intact stroke survivors with predominantly mild-to-moderate dysarthria. However, feasibility and efficacy in older stroke survivors with cognitive deficits or co-occurring aphasia, or in those unable to use smartphones, remain to be established.</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14" w:tgtFrame="_blank" w:history="1">
        <w:r w:rsidRPr="0050212E">
          <w:rPr>
            <w:rFonts w:ascii="Roboto" w:eastAsia="Times New Roman" w:hAnsi="Roboto" w:cs="Times New Roman"/>
            <w:color w:val="0066CC"/>
            <w:sz w:val="21"/>
            <w:szCs w:val="21"/>
            <w:lang w:eastAsia="en-GB"/>
          </w:rPr>
          <w:t>https://libkey.io/10.2196/81938</w:t>
        </w:r>
      </w:hyperlink>
    </w:p>
    <w:p w14:paraId="69925AFC" w14:textId="77777777"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4. </w:t>
      </w:r>
      <w:r w:rsidRPr="0050212E">
        <w:rPr>
          <w:rFonts w:ascii="Roboto" w:eastAsia="Times New Roman" w:hAnsi="Roboto" w:cs="Times New Roman"/>
          <w:b/>
          <w:bCs/>
          <w:color w:val="000000"/>
          <w:sz w:val="21"/>
          <w:szCs w:val="21"/>
          <w:lang w:eastAsia="en-GB"/>
        </w:rPr>
        <w:t>Amplitude Distribution Characteristics of the Tongue, Lower Lip, and Jaw in Talkers With Dysarthria Due to Parkinson's Disease.</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Mefferd, Antje </w:t>
      </w:r>
      <w:proofErr w:type="spellStart"/>
      <w:r w:rsidRPr="0050212E">
        <w:rPr>
          <w:rFonts w:ascii="Roboto" w:eastAsia="Times New Roman" w:hAnsi="Roboto" w:cs="Times New Roman"/>
          <w:color w:val="000000"/>
          <w:sz w:val="21"/>
          <w:szCs w:val="21"/>
          <w:lang w:eastAsia="en-GB"/>
        </w:rPr>
        <w:t>S.;Tjaden</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Kris;Dietrich</w:t>
      </w:r>
      <w:proofErr w:type="spellEnd"/>
      <w:r w:rsidRPr="0050212E">
        <w:rPr>
          <w:rFonts w:ascii="Roboto" w:eastAsia="Times New Roman" w:hAnsi="Roboto" w:cs="Times New Roman"/>
          <w:color w:val="000000"/>
          <w:sz w:val="21"/>
          <w:szCs w:val="21"/>
          <w:lang w:eastAsia="en-GB"/>
        </w:rPr>
        <w:t>, Mary S. and Brown, Amy 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lastRenderedPageBreak/>
        <w:t>Publication Date: </w:t>
      </w:r>
      <w:r w:rsidRPr="0050212E">
        <w:rPr>
          <w:rFonts w:ascii="Roboto" w:eastAsia="Times New Roman" w:hAnsi="Roboto" w:cs="Times New Roman"/>
          <w:color w:val="000000"/>
          <w:sz w:val="21"/>
          <w:szCs w:val="21"/>
          <w:lang w:eastAsia="en-GB"/>
        </w:rPr>
        <w:t>03 12 ,2026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Journal of Speech Language &amp; Hearing Research 69(3), pp. 874–890</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PURPOSE</w:t>
      </w:r>
      <w:r w:rsidRPr="0050212E">
        <w:rPr>
          <w:rFonts w:ascii="Roboto" w:eastAsia="Times New Roman" w:hAnsi="Roboto" w:cs="Times New Roman"/>
          <w:color w:val="000000"/>
          <w:sz w:val="21"/>
          <w:szCs w:val="21"/>
          <w:lang w:eastAsia="en-GB"/>
        </w:rPr>
        <w:t>: This study sought to provide comprehensive insights into the size of articulatory movements (stroke amplitudes) in talkers with Parkinson's disease (PD) and determine the extent to which hypokinesia is related to perceived articulatory subsystem impairment severity. </w:t>
      </w:r>
      <w:r w:rsidRPr="0050212E">
        <w:rPr>
          <w:rFonts w:ascii="Roboto" w:eastAsia="Times New Roman" w:hAnsi="Roboto" w:cs="Times New Roman"/>
          <w:b/>
          <w:bCs/>
          <w:color w:val="000000"/>
          <w:sz w:val="21"/>
          <w:szCs w:val="21"/>
          <w:lang w:eastAsia="en-GB"/>
        </w:rPr>
        <w:t>METHOD</w:t>
      </w:r>
      <w:r w:rsidRPr="0050212E">
        <w:rPr>
          <w:rFonts w:ascii="Roboto" w:eastAsia="Times New Roman" w:hAnsi="Roboto" w:cs="Times New Roman"/>
          <w:color w:val="000000"/>
          <w:sz w:val="21"/>
          <w:szCs w:val="21"/>
          <w:lang w:eastAsia="en-GB"/>
        </w:rPr>
        <w:t xml:space="preserve">: Forty talkers with PD and 40 controls participated. Perceptual ratings of the articulatory and phonatory subsystem impairment severity were obtained for all talkers with PD. </w:t>
      </w:r>
      <w:proofErr w:type="gramStart"/>
      <w:r w:rsidRPr="0050212E">
        <w:rPr>
          <w:rFonts w:ascii="Roboto" w:eastAsia="Times New Roman" w:hAnsi="Roboto" w:cs="Times New Roman"/>
          <w:color w:val="000000"/>
          <w:sz w:val="21"/>
          <w:szCs w:val="21"/>
          <w:lang w:eastAsia="en-GB"/>
        </w:rPr>
        <w:t>On the basis of</w:t>
      </w:r>
      <w:proofErr w:type="gramEnd"/>
      <w:r w:rsidRPr="0050212E">
        <w:rPr>
          <w:rFonts w:ascii="Roboto" w:eastAsia="Times New Roman" w:hAnsi="Roboto" w:cs="Times New Roman"/>
          <w:color w:val="000000"/>
          <w:sz w:val="21"/>
          <w:szCs w:val="21"/>
          <w:lang w:eastAsia="en-GB"/>
        </w:rPr>
        <w:t xml:space="preserve"> these ratings, the PD group was divided into talkers with and without an articulatory impairment (18 </w:t>
      </w:r>
      <w:proofErr w:type="spellStart"/>
      <w:r w:rsidRPr="0050212E">
        <w:rPr>
          <w:rFonts w:ascii="Roboto" w:eastAsia="Times New Roman" w:hAnsi="Roboto" w:cs="Times New Roman"/>
          <w:color w:val="000000"/>
          <w:sz w:val="21"/>
          <w:szCs w:val="21"/>
          <w:lang w:eastAsia="en-GB"/>
        </w:rPr>
        <w:t>PDdys+artic</w:t>
      </w:r>
      <w:proofErr w:type="spellEnd"/>
      <w:r w:rsidRPr="0050212E">
        <w:rPr>
          <w:rFonts w:ascii="Roboto" w:eastAsia="Times New Roman" w:hAnsi="Roboto" w:cs="Times New Roman"/>
          <w:color w:val="000000"/>
          <w:sz w:val="21"/>
          <w:szCs w:val="21"/>
          <w:lang w:eastAsia="en-GB"/>
        </w:rPr>
        <w:t xml:space="preserve">, 22 </w:t>
      </w:r>
      <w:proofErr w:type="spellStart"/>
      <w:r w:rsidRPr="0050212E">
        <w:rPr>
          <w:rFonts w:ascii="Roboto" w:eastAsia="Times New Roman" w:hAnsi="Roboto" w:cs="Times New Roman"/>
          <w:color w:val="000000"/>
          <w:sz w:val="21"/>
          <w:szCs w:val="21"/>
          <w:lang w:eastAsia="en-GB"/>
        </w:rPr>
        <w:t>PDdys-artic</w:t>
      </w:r>
      <w:proofErr w:type="spellEnd"/>
      <w:r w:rsidRPr="0050212E">
        <w:rPr>
          <w:rFonts w:ascii="Roboto" w:eastAsia="Times New Roman" w:hAnsi="Roboto" w:cs="Times New Roman"/>
          <w:color w:val="000000"/>
          <w:sz w:val="21"/>
          <w:szCs w:val="21"/>
          <w:lang w:eastAsia="en-GB"/>
        </w:rPr>
        <w:t xml:space="preserve">). Jaw, lower lip, anterior tongue, and posterior tongue movements were recorded during a paragraph reading task using three-dimensional electromagnetic articulography. Stroke amplitudes of all opening and closing movements were measured for each articulator, and frequency distributions across seven or 12 amplitude levels were established for the jaw and lower lip/tongue, respectively. To determine hypokinesia, stroke counts were compared among the two PD subgroups and controls at each amplitude level for each articulator. Articulatory impairment severity ratings of the </w:t>
      </w:r>
      <w:proofErr w:type="spellStart"/>
      <w:r w:rsidRPr="0050212E">
        <w:rPr>
          <w:rFonts w:ascii="Roboto" w:eastAsia="Times New Roman" w:hAnsi="Roboto" w:cs="Times New Roman"/>
          <w:color w:val="000000"/>
          <w:sz w:val="21"/>
          <w:szCs w:val="21"/>
          <w:lang w:eastAsia="en-GB"/>
        </w:rPr>
        <w:t>PDdys+artic</w:t>
      </w:r>
      <w:proofErr w:type="spellEnd"/>
      <w:r w:rsidRPr="0050212E">
        <w:rPr>
          <w:rFonts w:ascii="Roboto" w:eastAsia="Times New Roman" w:hAnsi="Roboto" w:cs="Times New Roman"/>
          <w:color w:val="000000"/>
          <w:sz w:val="21"/>
          <w:szCs w:val="21"/>
          <w:lang w:eastAsia="en-GB"/>
        </w:rPr>
        <w:t xml:space="preserve"> subgroup were correlated with the stroke counts at higher amplitude levels.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xml:space="preserve">: Group x Amplitude Level interactions were significant for all articulators. Post hoc pairwise comparisons revealed that the </w:t>
      </w:r>
      <w:proofErr w:type="spellStart"/>
      <w:r w:rsidRPr="0050212E">
        <w:rPr>
          <w:rFonts w:ascii="Roboto" w:eastAsia="Times New Roman" w:hAnsi="Roboto" w:cs="Times New Roman"/>
          <w:color w:val="000000"/>
          <w:sz w:val="21"/>
          <w:szCs w:val="21"/>
          <w:lang w:eastAsia="en-GB"/>
        </w:rPr>
        <w:t>PDdys+artic</w:t>
      </w:r>
      <w:proofErr w:type="spellEnd"/>
      <w:r w:rsidRPr="0050212E">
        <w:rPr>
          <w:rFonts w:ascii="Roboto" w:eastAsia="Times New Roman" w:hAnsi="Roboto" w:cs="Times New Roman"/>
          <w:color w:val="000000"/>
          <w:sz w:val="21"/>
          <w:szCs w:val="21"/>
          <w:lang w:eastAsia="en-GB"/>
        </w:rPr>
        <w:t xml:space="preserve"> subgroup produced significantly more tongue and lower lip strokes with small amplitudes and significantly less tongue and lower lip strokes with large amplitudes than controls, at times also the </w:t>
      </w:r>
      <w:proofErr w:type="spellStart"/>
      <w:r w:rsidRPr="0050212E">
        <w:rPr>
          <w:rFonts w:ascii="Roboto" w:eastAsia="Times New Roman" w:hAnsi="Roboto" w:cs="Times New Roman"/>
          <w:color w:val="000000"/>
          <w:sz w:val="21"/>
          <w:szCs w:val="21"/>
          <w:lang w:eastAsia="en-GB"/>
        </w:rPr>
        <w:t>PDdys-artic</w:t>
      </w:r>
      <w:proofErr w:type="spellEnd"/>
      <w:r w:rsidRPr="0050212E">
        <w:rPr>
          <w:rFonts w:ascii="Roboto" w:eastAsia="Times New Roman" w:hAnsi="Roboto" w:cs="Times New Roman"/>
          <w:color w:val="000000"/>
          <w:sz w:val="21"/>
          <w:szCs w:val="21"/>
          <w:lang w:eastAsia="en-GB"/>
        </w:rPr>
        <w:t xml:space="preserve"> subgroup. At a higher amplitude level, the </w:t>
      </w:r>
      <w:proofErr w:type="spellStart"/>
      <w:r w:rsidRPr="0050212E">
        <w:rPr>
          <w:rFonts w:ascii="Roboto" w:eastAsia="Times New Roman" w:hAnsi="Roboto" w:cs="Times New Roman"/>
          <w:color w:val="000000"/>
          <w:sz w:val="21"/>
          <w:szCs w:val="21"/>
          <w:lang w:eastAsia="en-GB"/>
        </w:rPr>
        <w:t>PDdys-artic</w:t>
      </w:r>
      <w:proofErr w:type="spellEnd"/>
      <w:r w:rsidRPr="0050212E">
        <w:rPr>
          <w:rFonts w:ascii="Roboto" w:eastAsia="Times New Roman" w:hAnsi="Roboto" w:cs="Times New Roman"/>
          <w:color w:val="000000"/>
          <w:sz w:val="21"/>
          <w:szCs w:val="21"/>
          <w:lang w:eastAsia="en-GB"/>
        </w:rPr>
        <w:t xml:space="preserve"> subgroup produced significantly less posterior tongue strokes than controls. However, post hoc group comparisons for jaw strokes were nonsignificant at all amplitude levels. Significant inverse correlations were found between tongue stroke counts and articulatory impairment severity ratings.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Findings suggest that hypokinesia manifests in the tongue and lip more so than in the jaw. Only hypokinesia of the tongue may be reflected in severity ratings of articulatory subsystem impairment.</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15" w:tgtFrame="_blank" w:history="1">
        <w:r w:rsidRPr="0050212E">
          <w:rPr>
            <w:rFonts w:ascii="Roboto" w:eastAsia="Times New Roman" w:hAnsi="Roboto" w:cs="Times New Roman"/>
            <w:color w:val="0066CC"/>
            <w:sz w:val="21"/>
            <w:szCs w:val="21"/>
            <w:lang w:eastAsia="en-GB"/>
          </w:rPr>
          <w:t>https://libkey.io/10.1044/2025_JSLHR-25-00078</w:t>
        </w:r>
      </w:hyperlink>
    </w:p>
    <w:p w14:paraId="1BB63A9F" w14:textId="2F7F4BF5" w:rsidR="0050212E" w:rsidRPr="0050212E" w:rsidRDefault="00601676" w:rsidP="0050212E">
      <w:pPr>
        <w:shd w:val="clear" w:color="auto" w:fill="FFFFFF"/>
        <w:spacing w:after="173"/>
        <w:ind w:left="450" w:hanging="450"/>
        <w:rPr>
          <w:rFonts w:ascii="Roboto" w:eastAsia="Times New Roman" w:hAnsi="Roboto" w:cs="Times New Roman"/>
          <w:color w:val="000000"/>
          <w:sz w:val="21"/>
          <w:szCs w:val="21"/>
          <w:lang w:eastAsia="en-GB"/>
        </w:rPr>
      </w:pPr>
      <w:r>
        <w:rPr>
          <w:rFonts w:ascii="Roboto" w:eastAsia="Times New Roman" w:hAnsi="Roboto" w:cs="Times New Roman"/>
          <w:color w:val="000000"/>
          <w:sz w:val="21"/>
          <w:szCs w:val="21"/>
          <w:lang w:eastAsia="en-GB"/>
        </w:rPr>
        <w:t>5</w:t>
      </w:r>
      <w:r w:rsidR="0050212E" w:rsidRPr="0050212E">
        <w:rPr>
          <w:rFonts w:ascii="Roboto" w:eastAsia="Times New Roman" w:hAnsi="Roboto" w:cs="Times New Roman"/>
          <w:color w:val="000000"/>
          <w:sz w:val="21"/>
          <w:szCs w:val="21"/>
          <w:lang w:eastAsia="en-GB"/>
        </w:rPr>
        <w:t>. </w:t>
      </w:r>
      <w:r w:rsidR="0050212E" w:rsidRPr="0050212E">
        <w:rPr>
          <w:rFonts w:ascii="Roboto" w:eastAsia="Times New Roman" w:hAnsi="Roboto" w:cs="Times New Roman"/>
          <w:b/>
          <w:bCs/>
          <w:color w:val="000000"/>
          <w:sz w:val="21"/>
          <w:szCs w:val="21"/>
          <w:lang w:eastAsia="en-GB"/>
        </w:rPr>
        <w:t>Comparing vowel intelligibility across interactive and non-interactive tasks in disordered speech.</w:t>
      </w:r>
      <w:r w:rsidR="0050212E" w:rsidRPr="0050212E">
        <w:rPr>
          <w:rFonts w:ascii="Roboto" w:eastAsia="Times New Roman" w:hAnsi="Roboto" w:cs="Times New Roman"/>
          <w:b/>
          <w:bCs/>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Authors:</w:t>
      </w:r>
      <w:r w:rsidR="0050212E" w:rsidRPr="0050212E">
        <w:rPr>
          <w:rFonts w:ascii="Roboto" w:eastAsia="Times New Roman" w:hAnsi="Roboto" w:cs="Times New Roman"/>
          <w:color w:val="000000"/>
          <w:sz w:val="21"/>
          <w:szCs w:val="21"/>
          <w:lang w:eastAsia="en-GB"/>
        </w:rPr>
        <w:t xml:space="preserve"> Olmstead, Annie </w:t>
      </w:r>
      <w:proofErr w:type="spellStart"/>
      <w:proofErr w:type="gramStart"/>
      <w:r w:rsidR="0050212E" w:rsidRPr="0050212E">
        <w:rPr>
          <w:rFonts w:ascii="Roboto" w:eastAsia="Times New Roman" w:hAnsi="Roboto" w:cs="Times New Roman"/>
          <w:color w:val="000000"/>
          <w:sz w:val="21"/>
          <w:szCs w:val="21"/>
          <w:lang w:eastAsia="en-GB"/>
        </w:rPr>
        <w:t>J.;Krajewski</w:t>
      </w:r>
      <w:proofErr w:type="spellEnd"/>
      <w:proofErr w:type="gramEnd"/>
      <w:r w:rsidR="0050212E" w:rsidRPr="0050212E">
        <w:rPr>
          <w:rFonts w:ascii="Roboto" w:eastAsia="Times New Roman" w:hAnsi="Roboto" w:cs="Times New Roman"/>
          <w:color w:val="000000"/>
          <w:sz w:val="21"/>
          <w:szCs w:val="21"/>
          <w:lang w:eastAsia="en-GB"/>
        </w:rPr>
        <w:t xml:space="preserve">, </w:t>
      </w:r>
      <w:proofErr w:type="spellStart"/>
      <w:proofErr w:type="gramStart"/>
      <w:r w:rsidR="0050212E" w:rsidRPr="0050212E">
        <w:rPr>
          <w:rFonts w:ascii="Roboto" w:eastAsia="Times New Roman" w:hAnsi="Roboto" w:cs="Times New Roman"/>
          <w:color w:val="000000"/>
          <w:sz w:val="21"/>
          <w:szCs w:val="21"/>
          <w:lang w:eastAsia="en-GB"/>
        </w:rPr>
        <w:t>Elizabeth;Lee</w:t>
      </w:r>
      <w:proofErr w:type="spellEnd"/>
      <w:proofErr w:type="gramEnd"/>
      <w:r w:rsidR="0050212E" w:rsidRPr="0050212E">
        <w:rPr>
          <w:rFonts w:ascii="Roboto" w:eastAsia="Times New Roman" w:hAnsi="Roboto" w:cs="Times New Roman"/>
          <w:color w:val="000000"/>
          <w:sz w:val="21"/>
          <w:szCs w:val="21"/>
          <w:lang w:eastAsia="en-GB"/>
        </w:rPr>
        <w:t>, Jimin and Viswanathan, Navin</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Publication Date: </w:t>
      </w:r>
      <w:r w:rsidR="0050212E" w:rsidRPr="0050212E">
        <w:rPr>
          <w:rFonts w:ascii="Roboto" w:eastAsia="Times New Roman" w:hAnsi="Roboto" w:cs="Times New Roman"/>
          <w:color w:val="000000"/>
          <w:sz w:val="21"/>
          <w:szCs w:val="21"/>
          <w:lang w:eastAsia="en-GB"/>
        </w:rPr>
        <w:t>Mar 01 ,2026</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Journal: </w:t>
      </w:r>
      <w:r w:rsidR="0050212E" w:rsidRPr="0050212E">
        <w:rPr>
          <w:rFonts w:ascii="Roboto" w:eastAsia="Times New Roman" w:hAnsi="Roboto" w:cs="Times New Roman"/>
          <w:color w:val="000000"/>
          <w:sz w:val="21"/>
          <w:szCs w:val="21"/>
          <w:lang w:eastAsia="en-GB"/>
        </w:rPr>
        <w:t>JASA Express Letters 6(3)</w:t>
      </w:r>
      <w:r w:rsid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Abstract: </w:t>
      </w:r>
      <w:r w:rsidR="0050212E" w:rsidRPr="0050212E">
        <w:rPr>
          <w:rFonts w:ascii="Roboto" w:eastAsia="Times New Roman" w:hAnsi="Roboto" w:cs="Times New Roman"/>
          <w:color w:val="000000"/>
          <w:sz w:val="21"/>
          <w:szCs w:val="21"/>
          <w:lang w:eastAsia="en-GB"/>
        </w:rPr>
        <w:t>The current study examines vowel intelligibility across interactive and non-interactive situations for individuals with dysarthria secondary to amyotrophic lateral sclerosis (PALS). The vowel space of these speakers is often characterized by centralization and lowering, negatively affecting intelligibility. In two experiments, listeners identified vowels produced by PALS in habitual speech (non-interactive), clear speech (non-interactive), and interactive matching. Clear speech and interactive matching elicited more intelligible vowels than habitual speech. Interactive matching productions were equal to or more intelligible than clear speech productions depending on vowel. These data represent a preliminary step to understanding how the dynamics of communicative interaction may shape vowel intelligibility.</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Access or request full text: </w:t>
      </w:r>
      <w:hyperlink r:id="rId16" w:tgtFrame="_blank" w:history="1">
        <w:r w:rsidR="0050212E" w:rsidRPr="0050212E">
          <w:rPr>
            <w:rFonts w:ascii="Roboto" w:eastAsia="Times New Roman" w:hAnsi="Roboto" w:cs="Times New Roman"/>
            <w:color w:val="0066CC"/>
            <w:sz w:val="21"/>
            <w:szCs w:val="21"/>
            <w:lang w:eastAsia="en-GB"/>
          </w:rPr>
          <w:t>https://libkey.io/10.1121/10.0043015</w:t>
        </w:r>
      </w:hyperlink>
    </w:p>
    <w:p w14:paraId="38F3B87C" w14:textId="0FABFC7E" w:rsidR="0050212E" w:rsidRPr="0050212E" w:rsidRDefault="00601676" w:rsidP="0050212E">
      <w:pPr>
        <w:shd w:val="clear" w:color="auto" w:fill="FFFFFF"/>
        <w:spacing w:after="173"/>
        <w:ind w:left="450" w:hanging="450"/>
        <w:rPr>
          <w:rFonts w:ascii="Roboto" w:eastAsia="Times New Roman" w:hAnsi="Roboto" w:cs="Times New Roman"/>
          <w:color w:val="000000"/>
          <w:sz w:val="21"/>
          <w:szCs w:val="21"/>
          <w:lang w:eastAsia="en-GB"/>
        </w:rPr>
      </w:pPr>
      <w:r>
        <w:rPr>
          <w:rFonts w:ascii="Roboto" w:eastAsia="Times New Roman" w:hAnsi="Roboto" w:cs="Times New Roman"/>
          <w:color w:val="000000"/>
          <w:sz w:val="21"/>
          <w:szCs w:val="21"/>
          <w:lang w:eastAsia="en-GB"/>
        </w:rPr>
        <w:t>6</w:t>
      </w:r>
      <w:r w:rsidR="0050212E" w:rsidRPr="0050212E">
        <w:rPr>
          <w:rFonts w:ascii="Roboto" w:eastAsia="Times New Roman" w:hAnsi="Roboto" w:cs="Times New Roman"/>
          <w:color w:val="000000"/>
          <w:sz w:val="21"/>
          <w:szCs w:val="21"/>
          <w:lang w:eastAsia="en-GB"/>
        </w:rPr>
        <w:t>. </w:t>
      </w:r>
      <w:r w:rsidR="0050212E" w:rsidRPr="0050212E">
        <w:rPr>
          <w:rFonts w:ascii="Roboto" w:eastAsia="Times New Roman" w:hAnsi="Roboto" w:cs="Times New Roman"/>
          <w:b/>
          <w:bCs/>
          <w:color w:val="000000"/>
          <w:sz w:val="21"/>
          <w:szCs w:val="21"/>
          <w:lang w:eastAsia="en-GB"/>
        </w:rPr>
        <w:t>Singing-Based Interventions for Treating Hypokinetic Dysarthria in Parkinson's Disease: A Systematic Review.</w:t>
      </w:r>
      <w:r w:rsidR="0050212E" w:rsidRPr="0050212E">
        <w:rPr>
          <w:rFonts w:ascii="Roboto" w:eastAsia="Times New Roman" w:hAnsi="Roboto" w:cs="Times New Roman"/>
          <w:b/>
          <w:bCs/>
          <w:color w:val="000000"/>
          <w:sz w:val="21"/>
          <w:szCs w:val="21"/>
          <w:lang w:eastAsia="en-GB"/>
        </w:rPr>
        <w:br/>
      </w:r>
      <w:r w:rsidR="0050212E" w:rsidRPr="0050212E">
        <w:rPr>
          <w:rFonts w:ascii="Roboto" w:eastAsia="Times New Roman" w:hAnsi="Roboto" w:cs="Times New Roman"/>
          <w:color w:val="000000"/>
          <w:sz w:val="21"/>
          <w:szCs w:val="21"/>
          <w:lang w:eastAsia="en-GB"/>
        </w:rPr>
        <w:lastRenderedPageBreak/>
        <w:br/>
      </w:r>
      <w:r w:rsidR="0050212E" w:rsidRPr="0050212E">
        <w:rPr>
          <w:rFonts w:ascii="Roboto" w:eastAsia="Times New Roman" w:hAnsi="Roboto" w:cs="Times New Roman"/>
          <w:b/>
          <w:bCs/>
          <w:color w:val="000000"/>
          <w:sz w:val="21"/>
          <w:szCs w:val="21"/>
          <w:lang w:eastAsia="en-GB"/>
        </w:rPr>
        <w:t>Authors:</w:t>
      </w:r>
      <w:r w:rsidR="0050212E" w:rsidRPr="0050212E">
        <w:rPr>
          <w:rFonts w:ascii="Roboto" w:eastAsia="Times New Roman" w:hAnsi="Roboto" w:cs="Times New Roman"/>
          <w:color w:val="000000"/>
          <w:sz w:val="21"/>
          <w:szCs w:val="21"/>
          <w:lang w:eastAsia="en-GB"/>
        </w:rPr>
        <w:t> Rojas Romero, Cristian Jovan and Guerrero, Yeison</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Publication Date: </w:t>
      </w:r>
      <w:r w:rsidR="0050212E" w:rsidRPr="0050212E">
        <w:rPr>
          <w:rFonts w:ascii="Roboto" w:eastAsia="Times New Roman" w:hAnsi="Roboto" w:cs="Times New Roman"/>
          <w:color w:val="000000"/>
          <w:sz w:val="21"/>
          <w:szCs w:val="21"/>
          <w:lang w:eastAsia="en-GB"/>
        </w:rPr>
        <w:t>Feb 11 ,2026</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Journal: </w:t>
      </w:r>
      <w:r w:rsidR="0050212E" w:rsidRPr="0050212E">
        <w:rPr>
          <w:rFonts w:ascii="Roboto" w:eastAsia="Times New Roman" w:hAnsi="Roboto" w:cs="Times New Roman"/>
          <w:color w:val="000000"/>
          <w:sz w:val="21"/>
          <w:szCs w:val="21"/>
          <w:lang w:eastAsia="en-GB"/>
        </w:rPr>
        <w:t>Journal of Music Therapy 63(1)</w:t>
      </w:r>
      <w:r w:rsid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Abstract: </w:t>
      </w:r>
      <w:r w:rsidR="0050212E" w:rsidRPr="0050212E">
        <w:rPr>
          <w:rFonts w:ascii="Roboto" w:eastAsia="Times New Roman" w:hAnsi="Roboto" w:cs="Times New Roman"/>
          <w:color w:val="000000"/>
          <w:sz w:val="21"/>
          <w:szCs w:val="21"/>
          <w:lang w:eastAsia="en-GB"/>
        </w:rPr>
        <w:t xml:space="preserve">Parkinson's disease (PD) progressively affects motor functions, often resulting in hypokinetic dysarthria, characterized by reduced speech articulation and vocal intensity. Over the last few decades, singing-based interventions have demonstrated potential therapeutic benefits for treating neurological speech disorders. To review the effectiveness of singing-based interventions in treating hypokinetic dysarthria, articles were identified based on a search across MEDLINE, PubMed, Scopus, ScienceDirect, and Web of Science. After being independently screened by the authors, the information was reviewed and extracted from articles written in English and Spanish investigating the potential benefits of music interventions in people living with PD. A total of 23 studies, out of 742 screened, involving 381 participants, were included. </w:t>
      </w:r>
      <w:proofErr w:type="gramStart"/>
      <w:r w:rsidR="0050212E" w:rsidRPr="0050212E">
        <w:rPr>
          <w:rFonts w:ascii="Roboto" w:eastAsia="Times New Roman" w:hAnsi="Roboto" w:cs="Times New Roman"/>
          <w:color w:val="000000"/>
          <w:sz w:val="21"/>
          <w:szCs w:val="21"/>
          <w:lang w:eastAsia="en-GB"/>
        </w:rPr>
        <w:t>The majority of</w:t>
      </w:r>
      <w:proofErr w:type="gramEnd"/>
      <w:r w:rsidR="0050212E" w:rsidRPr="0050212E">
        <w:rPr>
          <w:rFonts w:ascii="Roboto" w:eastAsia="Times New Roman" w:hAnsi="Roboto" w:cs="Times New Roman"/>
          <w:color w:val="000000"/>
          <w:sz w:val="21"/>
          <w:szCs w:val="21"/>
          <w:lang w:eastAsia="en-GB"/>
        </w:rPr>
        <w:t xml:space="preserve"> the studies were deemed of low quality due to the risk of bias from small sample sizes, lack of randomization, absence of control groups, and heterogeneous samples resulting from the progression of the disease. Overall, the review revealed that singing-based interventions improve phonation, prosody, and respiratory control, particularly those that incorporate group singing and vocal exercises based on speech-language pathology principles and techniques, such as the Lee Silverman voice treatment (LSVT). Findings suggest that singing-based interventions, when combined with and guided by LSVT principles, may maximize therapeutic benefits on speech quality in people living with PD. Additionally, several studies reported positive effects on emotional well-being and quality of life, reinforcing their potential psychosocial benefits. However, more studies with greater methodological rigor and long-term follow-up are needed to confirm these effects and establish more standardized intervention protocols.</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Access or request full text: </w:t>
      </w:r>
      <w:hyperlink r:id="rId17" w:tgtFrame="_blank" w:history="1">
        <w:r w:rsidR="0050212E" w:rsidRPr="0050212E">
          <w:rPr>
            <w:rFonts w:ascii="Roboto" w:eastAsia="Times New Roman" w:hAnsi="Roboto" w:cs="Times New Roman"/>
            <w:color w:val="0066CC"/>
            <w:sz w:val="21"/>
            <w:szCs w:val="21"/>
            <w:lang w:eastAsia="en-GB"/>
          </w:rPr>
          <w:t>https://libkey.io/10.1093/jmt/thag009</w:t>
        </w:r>
      </w:hyperlink>
    </w:p>
    <w:p w14:paraId="78F934E6" w14:textId="7101A313" w:rsidR="0050212E" w:rsidRPr="0050212E" w:rsidRDefault="00601676" w:rsidP="0050212E">
      <w:pPr>
        <w:shd w:val="clear" w:color="auto" w:fill="FFFFFF"/>
        <w:spacing w:after="173"/>
        <w:ind w:left="450" w:hanging="450"/>
        <w:rPr>
          <w:rFonts w:ascii="Roboto" w:eastAsia="Times New Roman" w:hAnsi="Roboto" w:cs="Times New Roman"/>
          <w:color w:val="000000"/>
          <w:sz w:val="21"/>
          <w:szCs w:val="21"/>
          <w:lang w:eastAsia="en-GB"/>
        </w:rPr>
      </w:pPr>
      <w:r>
        <w:rPr>
          <w:rFonts w:ascii="Roboto" w:eastAsia="Times New Roman" w:hAnsi="Roboto" w:cs="Times New Roman"/>
          <w:color w:val="000000"/>
          <w:sz w:val="21"/>
          <w:szCs w:val="21"/>
          <w:lang w:eastAsia="en-GB"/>
        </w:rPr>
        <w:t>7</w:t>
      </w:r>
      <w:r w:rsidR="0050212E" w:rsidRPr="0050212E">
        <w:rPr>
          <w:rFonts w:ascii="Roboto" w:eastAsia="Times New Roman" w:hAnsi="Roboto" w:cs="Times New Roman"/>
          <w:color w:val="000000"/>
          <w:sz w:val="21"/>
          <w:szCs w:val="21"/>
          <w:lang w:eastAsia="en-GB"/>
        </w:rPr>
        <w:t>. </w:t>
      </w:r>
      <w:r w:rsidR="0050212E" w:rsidRPr="0050212E">
        <w:rPr>
          <w:rFonts w:ascii="Roboto" w:eastAsia="Times New Roman" w:hAnsi="Roboto" w:cs="Times New Roman"/>
          <w:b/>
          <w:bCs/>
          <w:color w:val="000000"/>
          <w:sz w:val="21"/>
          <w:szCs w:val="21"/>
          <w:lang w:eastAsia="en-GB"/>
        </w:rPr>
        <w:t>Longitudinal Evaluation of Dysarthria Progression in Patients with Parkinson's Disease.</w:t>
      </w:r>
      <w:r w:rsidR="0050212E" w:rsidRPr="0050212E">
        <w:rPr>
          <w:rFonts w:ascii="Roboto" w:eastAsia="Times New Roman" w:hAnsi="Roboto" w:cs="Times New Roman"/>
          <w:b/>
          <w:bCs/>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Authors:</w:t>
      </w:r>
      <w:r w:rsidR="0050212E" w:rsidRPr="0050212E">
        <w:rPr>
          <w:rFonts w:ascii="Roboto" w:eastAsia="Times New Roman" w:hAnsi="Roboto" w:cs="Times New Roman"/>
          <w:color w:val="000000"/>
          <w:sz w:val="21"/>
          <w:szCs w:val="21"/>
          <w:lang w:eastAsia="en-GB"/>
        </w:rPr>
        <w:t xml:space="preserve"> Vasquez-Barrientos, Wilmar </w:t>
      </w:r>
      <w:proofErr w:type="spellStart"/>
      <w:proofErr w:type="gramStart"/>
      <w:r w:rsidR="0050212E" w:rsidRPr="0050212E">
        <w:rPr>
          <w:rFonts w:ascii="Roboto" w:eastAsia="Times New Roman" w:hAnsi="Roboto" w:cs="Times New Roman"/>
          <w:color w:val="000000"/>
          <w:sz w:val="21"/>
          <w:szCs w:val="21"/>
          <w:lang w:eastAsia="en-GB"/>
        </w:rPr>
        <w:t>Alesander;Escobar</w:t>
      </w:r>
      <w:proofErr w:type="gramEnd"/>
      <w:r w:rsidR="0050212E" w:rsidRPr="0050212E">
        <w:rPr>
          <w:rFonts w:ascii="Roboto" w:eastAsia="Times New Roman" w:hAnsi="Roboto" w:cs="Times New Roman"/>
          <w:color w:val="000000"/>
          <w:sz w:val="21"/>
          <w:szCs w:val="21"/>
          <w:lang w:eastAsia="en-GB"/>
        </w:rPr>
        <w:t>-Grisales</w:t>
      </w:r>
      <w:proofErr w:type="spellEnd"/>
      <w:r w:rsidR="0050212E" w:rsidRPr="0050212E">
        <w:rPr>
          <w:rFonts w:ascii="Roboto" w:eastAsia="Times New Roman" w:hAnsi="Roboto" w:cs="Times New Roman"/>
          <w:color w:val="000000"/>
          <w:sz w:val="21"/>
          <w:szCs w:val="21"/>
          <w:lang w:eastAsia="en-GB"/>
        </w:rPr>
        <w:t xml:space="preserve">, </w:t>
      </w:r>
      <w:proofErr w:type="spellStart"/>
      <w:proofErr w:type="gramStart"/>
      <w:r w:rsidR="0050212E" w:rsidRPr="0050212E">
        <w:rPr>
          <w:rFonts w:ascii="Roboto" w:eastAsia="Times New Roman" w:hAnsi="Roboto" w:cs="Times New Roman"/>
          <w:color w:val="000000"/>
          <w:sz w:val="21"/>
          <w:szCs w:val="21"/>
          <w:lang w:eastAsia="en-GB"/>
        </w:rPr>
        <w:t>Daniel;Rios</w:t>
      </w:r>
      <w:proofErr w:type="gramEnd"/>
      <w:r w:rsidR="0050212E" w:rsidRPr="0050212E">
        <w:rPr>
          <w:rFonts w:ascii="Roboto" w:eastAsia="Times New Roman" w:hAnsi="Roboto" w:cs="Times New Roman"/>
          <w:color w:val="000000"/>
          <w:sz w:val="21"/>
          <w:szCs w:val="21"/>
          <w:lang w:eastAsia="en-GB"/>
        </w:rPr>
        <w:t>-Urrego</w:t>
      </w:r>
      <w:proofErr w:type="spellEnd"/>
      <w:r w:rsidR="0050212E" w:rsidRPr="0050212E">
        <w:rPr>
          <w:rFonts w:ascii="Roboto" w:eastAsia="Times New Roman" w:hAnsi="Roboto" w:cs="Times New Roman"/>
          <w:color w:val="000000"/>
          <w:sz w:val="21"/>
          <w:szCs w:val="21"/>
          <w:lang w:eastAsia="en-GB"/>
        </w:rPr>
        <w:t>, Cristian David and Orozco-Arroyave, Juan Rafael</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Publication Date: </w:t>
      </w:r>
      <w:r w:rsidR="0050212E" w:rsidRPr="0050212E">
        <w:rPr>
          <w:rFonts w:ascii="Roboto" w:eastAsia="Times New Roman" w:hAnsi="Roboto" w:cs="Times New Roman"/>
          <w:color w:val="000000"/>
          <w:sz w:val="21"/>
          <w:szCs w:val="21"/>
          <w:lang w:eastAsia="en-GB"/>
        </w:rPr>
        <w:t>Feb 26 ,2026</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Journal: </w:t>
      </w:r>
      <w:r w:rsidR="0050212E" w:rsidRPr="0050212E">
        <w:rPr>
          <w:rFonts w:ascii="Roboto" w:eastAsia="Times New Roman" w:hAnsi="Roboto" w:cs="Times New Roman"/>
          <w:color w:val="000000"/>
          <w:sz w:val="21"/>
          <w:szCs w:val="21"/>
          <w:lang w:eastAsia="en-GB"/>
        </w:rPr>
        <w:t>Diagnostics 16(5)</w:t>
      </w:r>
      <w:r w:rsid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Abstract: Background/Objectives:</w:t>
      </w:r>
      <w:r w:rsidR="0050212E" w:rsidRPr="0050212E">
        <w:rPr>
          <w:rFonts w:ascii="Roboto" w:eastAsia="Times New Roman" w:hAnsi="Roboto" w:cs="Times New Roman"/>
          <w:color w:val="000000"/>
          <w:sz w:val="21"/>
          <w:szCs w:val="21"/>
          <w:lang w:eastAsia="en-GB"/>
        </w:rPr>
        <w:t> Automatic evaluation of Parkinson's disease (PD) progression is an emerging topic that deserves special attention from the research community. Unobtrusive, low-cost technology is essential for monitoring PD patients in remote areas. This paper proposes the use of phonological posteriors to create models that allow the progression of dysarthria level progression to be modelled based on speech recordings.</w:t>
      </w:r>
      <w:r>
        <w:rPr>
          <w:rFonts w:ascii="Roboto" w:eastAsia="Times New Roman" w:hAnsi="Roboto" w:cs="Times New Roman"/>
          <w:color w:val="000000"/>
          <w:sz w:val="21"/>
          <w:szCs w:val="21"/>
          <w:lang w:eastAsia="en-GB"/>
        </w:rPr>
        <w:t xml:space="preserve"> </w:t>
      </w:r>
      <w:r w:rsidR="0050212E" w:rsidRPr="0050212E">
        <w:rPr>
          <w:rFonts w:ascii="Roboto" w:eastAsia="Times New Roman" w:hAnsi="Roboto" w:cs="Times New Roman"/>
          <w:b/>
          <w:bCs/>
          <w:color w:val="000000"/>
          <w:sz w:val="21"/>
          <w:szCs w:val="21"/>
          <w:lang w:eastAsia="en-GB"/>
        </w:rPr>
        <w:t>Methods:</w:t>
      </w:r>
      <w:r w:rsidR="0050212E" w:rsidRPr="0050212E">
        <w:rPr>
          <w:rFonts w:ascii="Roboto" w:eastAsia="Times New Roman" w:hAnsi="Roboto" w:cs="Times New Roman"/>
          <w:color w:val="000000"/>
          <w:sz w:val="21"/>
          <w:szCs w:val="21"/>
          <w:lang w:eastAsia="en-GB"/>
        </w:rPr>
        <w:t xml:space="preserve"> Eighteen Gated Recurrent Units (GRUs) are used to estimate an equal number of phonological classes assigned to each phoneme pronounced </w:t>
      </w:r>
      <w:proofErr w:type="gramStart"/>
      <w:r w:rsidR="0050212E" w:rsidRPr="0050212E">
        <w:rPr>
          <w:rFonts w:ascii="Roboto" w:eastAsia="Times New Roman" w:hAnsi="Roboto" w:cs="Times New Roman"/>
          <w:color w:val="000000"/>
          <w:sz w:val="21"/>
          <w:szCs w:val="21"/>
          <w:lang w:eastAsia="en-GB"/>
        </w:rPr>
        <w:t>in a given</w:t>
      </w:r>
      <w:proofErr w:type="gramEnd"/>
      <w:r w:rsidR="0050212E" w:rsidRPr="0050212E">
        <w:rPr>
          <w:rFonts w:ascii="Roboto" w:eastAsia="Times New Roman" w:hAnsi="Roboto" w:cs="Times New Roman"/>
          <w:color w:val="000000"/>
          <w:sz w:val="21"/>
          <w:szCs w:val="21"/>
          <w:lang w:eastAsia="en-GB"/>
        </w:rPr>
        <w:t xml:space="preserve"> recording. Classification models of PD vs. healthy control (HC) subjects are trained with recordings of the PC-GITA corpus. This information is used in a separate corpus, with longitudinal recordings, to evaluate whether the progression of the dysarthria level, according to the modified Frenchay Dysarthria Assessment (</w:t>
      </w:r>
      <w:proofErr w:type="spellStart"/>
      <w:r w:rsidR="0050212E" w:rsidRPr="0050212E">
        <w:rPr>
          <w:rFonts w:ascii="Roboto" w:eastAsia="Times New Roman" w:hAnsi="Roboto" w:cs="Times New Roman"/>
          <w:color w:val="000000"/>
          <w:sz w:val="21"/>
          <w:szCs w:val="21"/>
          <w:lang w:eastAsia="en-GB"/>
        </w:rPr>
        <w:t>mFDA</w:t>
      </w:r>
      <w:proofErr w:type="spellEnd"/>
      <w:r w:rsidR="0050212E" w:rsidRPr="0050212E">
        <w:rPr>
          <w:rFonts w:ascii="Roboto" w:eastAsia="Times New Roman" w:hAnsi="Roboto" w:cs="Times New Roman"/>
          <w:color w:val="000000"/>
          <w:sz w:val="21"/>
          <w:szCs w:val="21"/>
          <w:lang w:eastAsia="en-GB"/>
        </w:rPr>
        <w:t>), is related to abnormal production of specific phonemes.</w:t>
      </w:r>
      <w:r>
        <w:rPr>
          <w:rFonts w:ascii="Roboto" w:eastAsia="Times New Roman" w:hAnsi="Roboto" w:cs="Times New Roman"/>
          <w:color w:val="000000"/>
          <w:sz w:val="21"/>
          <w:szCs w:val="21"/>
          <w:lang w:eastAsia="en-GB"/>
        </w:rPr>
        <w:t xml:space="preserve"> </w:t>
      </w:r>
      <w:r w:rsidR="0050212E" w:rsidRPr="0050212E">
        <w:rPr>
          <w:rFonts w:ascii="Roboto" w:eastAsia="Times New Roman" w:hAnsi="Roboto" w:cs="Times New Roman"/>
          <w:b/>
          <w:bCs/>
          <w:color w:val="000000"/>
          <w:sz w:val="21"/>
          <w:szCs w:val="21"/>
          <w:lang w:eastAsia="en-GB"/>
        </w:rPr>
        <w:t>Results:</w:t>
      </w:r>
      <w:r w:rsidR="0050212E" w:rsidRPr="0050212E">
        <w:rPr>
          <w:rFonts w:ascii="Roboto" w:eastAsia="Times New Roman" w:hAnsi="Roboto" w:cs="Times New Roman"/>
          <w:color w:val="000000"/>
          <w:sz w:val="21"/>
          <w:szCs w:val="21"/>
          <w:lang w:eastAsia="en-GB"/>
        </w:rPr>
        <w:t xml:space="preserve"> Strident, dental, pause, back, and continuant phonological classes are the ones that better explain dysarthria level progression within </w:t>
      </w:r>
      <w:proofErr w:type="gramStart"/>
      <w:r w:rsidR="0050212E" w:rsidRPr="0050212E">
        <w:rPr>
          <w:rFonts w:ascii="Roboto" w:eastAsia="Times New Roman" w:hAnsi="Roboto" w:cs="Times New Roman"/>
          <w:color w:val="000000"/>
          <w:sz w:val="21"/>
          <w:szCs w:val="21"/>
          <w:lang w:eastAsia="en-GB"/>
        </w:rPr>
        <w:t>time-frames</w:t>
      </w:r>
      <w:proofErr w:type="gramEnd"/>
      <w:r w:rsidR="0050212E" w:rsidRPr="0050212E">
        <w:rPr>
          <w:rFonts w:ascii="Roboto" w:eastAsia="Times New Roman" w:hAnsi="Roboto" w:cs="Times New Roman"/>
          <w:color w:val="000000"/>
          <w:sz w:val="21"/>
          <w:szCs w:val="21"/>
          <w:lang w:eastAsia="en-GB"/>
        </w:rPr>
        <w:t xml:space="preserve"> of at least two years, therefore allowing possible monitoring of disease progression.</w:t>
      </w:r>
      <w:r>
        <w:rPr>
          <w:rFonts w:ascii="Roboto" w:eastAsia="Times New Roman" w:hAnsi="Roboto" w:cs="Times New Roman"/>
          <w:color w:val="000000"/>
          <w:sz w:val="21"/>
          <w:szCs w:val="21"/>
          <w:lang w:eastAsia="en-GB"/>
        </w:rPr>
        <w:t xml:space="preserve"> </w:t>
      </w:r>
      <w:r w:rsidR="0050212E" w:rsidRPr="0050212E">
        <w:rPr>
          <w:rFonts w:ascii="Roboto" w:eastAsia="Times New Roman" w:hAnsi="Roboto" w:cs="Times New Roman"/>
          <w:b/>
          <w:bCs/>
          <w:color w:val="000000"/>
          <w:sz w:val="21"/>
          <w:szCs w:val="21"/>
          <w:lang w:eastAsia="en-GB"/>
        </w:rPr>
        <w:t>Conclusions:</w:t>
      </w:r>
      <w:r w:rsidR="0050212E" w:rsidRPr="0050212E">
        <w:rPr>
          <w:rFonts w:ascii="Roboto" w:eastAsia="Times New Roman" w:hAnsi="Roboto" w:cs="Times New Roman"/>
          <w:color w:val="000000"/>
          <w:sz w:val="21"/>
          <w:szCs w:val="21"/>
          <w:lang w:eastAsia="en-GB"/>
        </w:rPr>
        <w:t xml:space="preserve"> Speech is a low-cost </w:t>
      </w:r>
      <w:proofErr w:type="spellStart"/>
      <w:r w:rsidR="0050212E" w:rsidRPr="0050212E">
        <w:rPr>
          <w:rFonts w:ascii="Roboto" w:eastAsia="Times New Roman" w:hAnsi="Roboto" w:cs="Times New Roman"/>
          <w:color w:val="000000"/>
          <w:sz w:val="21"/>
          <w:szCs w:val="21"/>
          <w:lang w:eastAsia="en-GB"/>
        </w:rPr>
        <w:t>biosignal</w:t>
      </w:r>
      <w:proofErr w:type="spellEnd"/>
      <w:r w:rsidR="0050212E" w:rsidRPr="0050212E">
        <w:rPr>
          <w:rFonts w:ascii="Roboto" w:eastAsia="Times New Roman" w:hAnsi="Roboto" w:cs="Times New Roman"/>
          <w:color w:val="000000"/>
          <w:sz w:val="21"/>
          <w:szCs w:val="21"/>
          <w:lang w:eastAsia="en-GB"/>
        </w:rPr>
        <w:t xml:space="preserve"> that can be used to automatically </w:t>
      </w:r>
      <w:r w:rsidR="0050212E" w:rsidRPr="0050212E">
        <w:rPr>
          <w:rFonts w:ascii="Roboto" w:eastAsia="Times New Roman" w:hAnsi="Roboto" w:cs="Times New Roman"/>
          <w:color w:val="000000"/>
          <w:sz w:val="21"/>
          <w:szCs w:val="21"/>
          <w:lang w:eastAsia="en-GB"/>
        </w:rPr>
        <w:lastRenderedPageBreak/>
        <w:t xml:space="preserve">assess PD progression. </w:t>
      </w:r>
      <w:proofErr w:type="gramStart"/>
      <w:r w:rsidR="0050212E" w:rsidRPr="0050212E">
        <w:rPr>
          <w:rFonts w:ascii="Roboto" w:eastAsia="Times New Roman" w:hAnsi="Roboto" w:cs="Times New Roman"/>
          <w:color w:val="000000"/>
          <w:sz w:val="21"/>
          <w:szCs w:val="21"/>
          <w:lang w:eastAsia="en-GB"/>
        </w:rPr>
        <w:t>In particular, this</w:t>
      </w:r>
      <w:proofErr w:type="gramEnd"/>
      <w:r w:rsidR="0050212E" w:rsidRPr="0050212E">
        <w:rPr>
          <w:rFonts w:ascii="Roboto" w:eastAsia="Times New Roman" w:hAnsi="Roboto" w:cs="Times New Roman"/>
          <w:color w:val="000000"/>
          <w:sz w:val="21"/>
          <w:szCs w:val="21"/>
          <w:lang w:eastAsia="en-GB"/>
        </w:rPr>
        <w:t xml:space="preserve"> study shows that such an assessment makes it possible to evaluate dysarthria level progression and to find which phonological classes are contributing the most to such a progression. We believe that the findings reported in this paper provide objective evidence about possible abnormalities in broader speech-related processes like respiration, therefore contributing a better understanding of the relationship between speech production patterns and other speech-related processes affected when suffering from PD.</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Access or request full text: </w:t>
      </w:r>
      <w:hyperlink r:id="rId18" w:tgtFrame="_blank" w:history="1">
        <w:r w:rsidR="0050212E" w:rsidRPr="0050212E">
          <w:rPr>
            <w:rFonts w:ascii="Roboto" w:eastAsia="Times New Roman" w:hAnsi="Roboto" w:cs="Times New Roman"/>
            <w:color w:val="0066CC"/>
            <w:sz w:val="21"/>
            <w:szCs w:val="21"/>
            <w:lang w:eastAsia="en-GB"/>
          </w:rPr>
          <w:t>https://libkey.io/10.3390/diagnostics16050683</w:t>
        </w:r>
      </w:hyperlink>
    </w:p>
    <w:p w14:paraId="7600B079" w14:textId="5480C663" w:rsidR="003E7AE2" w:rsidRDefault="00601676" w:rsidP="00601676">
      <w:pPr>
        <w:shd w:val="clear" w:color="auto" w:fill="FFFFFF"/>
        <w:spacing w:after="173"/>
        <w:ind w:left="450" w:hanging="450"/>
      </w:pPr>
      <w:r>
        <w:rPr>
          <w:rFonts w:ascii="Roboto" w:eastAsia="Times New Roman" w:hAnsi="Roboto" w:cs="Times New Roman"/>
          <w:color w:val="000000"/>
          <w:sz w:val="21"/>
          <w:szCs w:val="21"/>
          <w:lang w:eastAsia="en-GB"/>
        </w:rPr>
        <w:t>8</w:t>
      </w:r>
      <w:r w:rsidR="0050212E" w:rsidRPr="0050212E">
        <w:rPr>
          <w:rFonts w:ascii="Roboto" w:eastAsia="Times New Roman" w:hAnsi="Roboto" w:cs="Times New Roman"/>
          <w:color w:val="000000"/>
          <w:sz w:val="21"/>
          <w:szCs w:val="21"/>
          <w:lang w:eastAsia="en-GB"/>
        </w:rPr>
        <w:t>. </w:t>
      </w:r>
      <w:r w:rsidR="0050212E" w:rsidRPr="0050212E">
        <w:rPr>
          <w:rFonts w:ascii="Roboto" w:eastAsia="Times New Roman" w:hAnsi="Roboto" w:cs="Times New Roman"/>
          <w:b/>
          <w:bCs/>
          <w:color w:val="000000"/>
          <w:sz w:val="21"/>
          <w:szCs w:val="21"/>
          <w:lang w:eastAsia="en-GB"/>
        </w:rPr>
        <w:t>Development and validation of the dysarthria impact scale: a patient-reported outcome for motor speech disorders.</w:t>
      </w:r>
      <w:r w:rsidR="0050212E" w:rsidRPr="0050212E">
        <w:rPr>
          <w:rFonts w:ascii="Roboto" w:eastAsia="Times New Roman" w:hAnsi="Roboto" w:cs="Times New Roman"/>
          <w:b/>
          <w:bCs/>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Authors:</w:t>
      </w:r>
      <w:r w:rsidR="0050212E" w:rsidRPr="0050212E">
        <w:rPr>
          <w:rFonts w:ascii="Roboto" w:eastAsia="Times New Roman" w:hAnsi="Roboto" w:cs="Times New Roman"/>
          <w:color w:val="000000"/>
          <w:sz w:val="21"/>
          <w:szCs w:val="21"/>
          <w:lang w:eastAsia="en-GB"/>
        </w:rPr>
        <w:t xml:space="preserve"> Vogel, Adam </w:t>
      </w:r>
      <w:proofErr w:type="spellStart"/>
      <w:proofErr w:type="gramStart"/>
      <w:r w:rsidR="0050212E" w:rsidRPr="0050212E">
        <w:rPr>
          <w:rFonts w:ascii="Roboto" w:eastAsia="Times New Roman" w:hAnsi="Roboto" w:cs="Times New Roman"/>
          <w:color w:val="000000"/>
          <w:sz w:val="21"/>
          <w:szCs w:val="21"/>
          <w:lang w:eastAsia="en-GB"/>
        </w:rPr>
        <w:t>P.;Graf</w:t>
      </w:r>
      <w:proofErr w:type="spellEnd"/>
      <w:proofErr w:type="gramEnd"/>
      <w:r w:rsidR="0050212E" w:rsidRPr="0050212E">
        <w:rPr>
          <w:rFonts w:ascii="Roboto" w:eastAsia="Times New Roman" w:hAnsi="Roboto" w:cs="Times New Roman"/>
          <w:color w:val="000000"/>
          <w:sz w:val="21"/>
          <w:szCs w:val="21"/>
          <w:lang w:eastAsia="en-GB"/>
        </w:rPr>
        <w:t xml:space="preserve">, </w:t>
      </w:r>
      <w:proofErr w:type="spellStart"/>
      <w:proofErr w:type="gramStart"/>
      <w:r w:rsidR="0050212E" w:rsidRPr="0050212E">
        <w:rPr>
          <w:rFonts w:ascii="Roboto" w:eastAsia="Times New Roman" w:hAnsi="Roboto" w:cs="Times New Roman"/>
          <w:color w:val="000000"/>
          <w:sz w:val="21"/>
          <w:szCs w:val="21"/>
          <w:lang w:eastAsia="en-GB"/>
        </w:rPr>
        <w:t>Lisa;Weis</w:t>
      </w:r>
      <w:proofErr w:type="spellEnd"/>
      <w:proofErr w:type="gramEnd"/>
      <w:r w:rsidR="0050212E" w:rsidRPr="0050212E">
        <w:rPr>
          <w:rFonts w:ascii="Roboto" w:eastAsia="Times New Roman" w:hAnsi="Roboto" w:cs="Times New Roman"/>
          <w:color w:val="000000"/>
          <w:sz w:val="21"/>
          <w:szCs w:val="21"/>
          <w:lang w:eastAsia="en-GB"/>
        </w:rPr>
        <w:t xml:space="preserve">, </w:t>
      </w:r>
      <w:proofErr w:type="spellStart"/>
      <w:proofErr w:type="gramStart"/>
      <w:r w:rsidR="0050212E" w:rsidRPr="0050212E">
        <w:rPr>
          <w:rFonts w:ascii="Roboto" w:eastAsia="Times New Roman" w:hAnsi="Roboto" w:cs="Times New Roman"/>
          <w:color w:val="000000"/>
          <w:sz w:val="21"/>
          <w:szCs w:val="21"/>
          <w:lang w:eastAsia="en-GB"/>
        </w:rPr>
        <w:t>Merit;Chan</w:t>
      </w:r>
      <w:proofErr w:type="spellEnd"/>
      <w:proofErr w:type="gramEnd"/>
      <w:r w:rsidR="0050212E" w:rsidRPr="0050212E">
        <w:rPr>
          <w:rFonts w:ascii="Roboto" w:eastAsia="Times New Roman" w:hAnsi="Roboto" w:cs="Times New Roman"/>
          <w:color w:val="000000"/>
          <w:sz w:val="21"/>
          <w:szCs w:val="21"/>
          <w:lang w:eastAsia="en-GB"/>
        </w:rPr>
        <w:t xml:space="preserve">, Cheuk S. </w:t>
      </w:r>
      <w:proofErr w:type="spellStart"/>
      <w:proofErr w:type="gramStart"/>
      <w:r w:rsidR="0050212E" w:rsidRPr="0050212E">
        <w:rPr>
          <w:rFonts w:ascii="Roboto" w:eastAsia="Times New Roman" w:hAnsi="Roboto" w:cs="Times New Roman"/>
          <w:color w:val="000000"/>
          <w:sz w:val="21"/>
          <w:szCs w:val="21"/>
          <w:lang w:eastAsia="en-GB"/>
        </w:rPr>
        <w:t>J.;Hepworth</w:t>
      </w:r>
      <w:proofErr w:type="spellEnd"/>
      <w:proofErr w:type="gramEnd"/>
      <w:r w:rsidR="0050212E" w:rsidRPr="0050212E">
        <w:rPr>
          <w:rFonts w:ascii="Roboto" w:eastAsia="Times New Roman" w:hAnsi="Roboto" w:cs="Times New Roman"/>
          <w:color w:val="000000"/>
          <w:sz w:val="21"/>
          <w:szCs w:val="21"/>
          <w:lang w:eastAsia="en-GB"/>
        </w:rPr>
        <w:t xml:space="preserve">, Graham and </w:t>
      </w:r>
      <w:proofErr w:type="spellStart"/>
      <w:r w:rsidR="0050212E" w:rsidRPr="0050212E">
        <w:rPr>
          <w:rFonts w:ascii="Roboto" w:eastAsia="Times New Roman" w:hAnsi="Roboto" w:cs="Times New Roman"/>
          <w:color w:val="000000"/>
          <w:sz w:val="21"/>
          <w:szCs w:val="21"/>
          <w:lang w:eastAsia="en-GB"/>
        </w:rPr>
        <w:t>Synofzik</w:t>
      </w:r>
      <w:proofErr w:type="spellEnd"/>
      <w:r w:rsidR="0050212E" w:rsidRPr="0050212E">
        <w:rPr>
          <w:rFonts w:ascii="Roboto" w:eastAsia="Times New Roman" w:hAnsi="Roboto" w:cs="Times New Roman"/>
          <w:color w:val="000000"/>
          <w:sz w:val="21"/>
          <w:szCs w:val="21"/>
          <w:lang w:eastAsia="en-GB"/>
        </w:rPr>
        <w:t>, Matthis</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Publication Date: </w:t>
      </w:r>
      <w:r w:rsidR="0050212E" w:rsidRPr="0050212E">
        <w:rPr>
          <w:rFonts w:ascii="Roboto" w:eastAsia="Times New Roman" w:hAnsi="Roboto" w:cs="Times New Roman"/>
          <w:color w:val="000000"/>
          <w:sz w:val="21"/>
          <w:szCs w:val="21"/>
          <w:lang w:eastAsia="en-GB"/>
        </w:rPr>
        <w:t>Mar 10 ,2026</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Journal: </w:t>
      </w:r>
      <w:r w:rsidR="0050212E" w:rsidRPr="0050212E">
        <w:rPr>
          <w:rFonts w:ascii="Roboto" w:eastAsia="Times New Roman" w:hAnsi="Roboto" w:cs="Times New Roman"/>
          <w:color w:val="000000"/>
          <w:sz w:val="21"/>
          <w:szCs w:val="21"/>
          <w:lang w:eastAsia="en-GB"/>
        </w:rPr>
        <w:t>Journal of Neurology 273(3)</w:t>
      </w:r>
      <w:r w:rsid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Abstract: BACKGROUND</w:t>
      </w:r>
      <w:r w:rsidR="0050212E" w:rsidRPr="0050212E">
        <w:rPr>
          <w:rFonts w:ascii="Roboto" w:eastAsia="Times New Roman" w:hAnsi="Roboto" w:cs="Times New Roman"/>
          <w:color w:val="000000"/>
          <w:sz w:val="21"/>
          <w:szCs w:val="21"/>
          <w:lang w:eastAsia="en-GB"/>
        </w:rPr>
        <w:t>: Impaired speech due to dysarthria significantly impacts quality of life. Patient-reported outcomes (PROs) offer critical insight into the lived experience of communication disability and are central to regulatory frameworks for patient-focused drug development. </w:t>
      </w:r>
      <w:r w:rsidR="0050212E" w:rsidRPr="0050212E">
        <w:rPr>
          <w:rFonts w:ascii="Roboto" w:eastAsia="Times New Roman" w:hAnsi="Roboto" w:cs="Times New Roman"/>
          <w:b/>
          <w:bCs/>
          <w:color w:val="000000"/>
          <w:sz w:val="21"/>
          <w:szCs w:val="21"/>
          <w:lang w:eastAsia="en-GB"/>
        </w:rPr>
        <w:t>OBJECTIVES</w:t>
      </w:r>
      <w:r w:rsidR="0050212E" w:rsidRPr="0050212E">
        <w:rPr>
          <w:rFonts w:ascii="Roboto" w:eastAsia="Times New Roman" w:hAnsi="Roboto" w:cs="Times New Roman"/>
          <w:color w:val="000000"/>
          <w:sz w:val="21"/>
          <w:szCs w:val="21"/>
          <w:lang w:eastAsia="en-GB"/>
        </w:rPr>
        <w:t>: To develop and validate the Dysarthria Impact Scale (DIS), a brief PRO designed to assess the impact of motor speech disorders on quality of life across neurological conditions. </w:t>
      </w:r>
      <w:r w:rsidR="0050212E" w:rsidRPr="0050212E">
        <w:rPr>
          <w:rFonts w:ascii="Roboto" w:eastAsia="Times New Roman" w:hAnsi="Roboto" w:cs="Times New Roman"/>
          <w:b/>
          <w:bCs/>
          <w:color w:val="000000"/>
          <w:sz w:val="21"/>
          <w:szCs w:val="21"/>
          <w:lang w:eastAsia="en-GB"/>
        </w:rPr>
        <w:t>METHODS</w:t>
      </w:r>
      <w:r w:rsidR="0050212E" w:rsidRPr="0050212E">
        <w:rPr>
          <w:rFonts w:ascii="Roboto" w:eastAsia="Times New Roman" w:hAnsi="Roboto" w:cs="Times New Roman"/>
          <w:color w:val="000000"/>
          <w:sz w:val="21"/>
          <w:szCs w:val="21"/>
          <w:lang w:eastAsia="en-GB"/>
        </w:rPr>
        <w:t>: A multi-site, cross-sectional study was conducted with 244 participants, including individuals with Huntington's disease, Parkinson's disease, hereditary ataxias, and head and neck cancer, and healthy controls. The 22-item DIS was developed using expert input and patient feedback and evaluated alongside reference tools (Voice Handicap Index and SF-36). Item reduction procedures yielded two shorter versions (DIS-17 and DIS-6). Validity, reliability, and sensitivity/specificity analyses were performed, and minimal clinically important differences (MCIDs) were estimated using distribution-based methods. </w:t>
      </w:r>
      <w:r w:rsidR="0050212E" w:rsidRPr="0050212E">
        <w:rPr>
          <w:rFonts w:ascii="Roboto" w:eastAsia="Times New Roman" w:hAnsi="Roboto" w:cs="Times New Roman"/>
          <w:b/>
          <w:bCs/>
          <w:color w:val="000000"/>
          <w:sz w:val="21"/>
          <w:szCs w:val="21"/>
          <w:lang w:eastAsia="en-GB"/>
        </w:rPr>
        <w:t>RESULTS</w:t>
      </w:r>
      <w:r w:rsidR="0050212E" w:rsidRPr="0050212E">
        <w:rPr>
          <w:rFonts w:ascii="Roboto" w:eastAsia="Times New Roman" w:hAnsi="Roboto" w:cs="Times New Roman"/>
          <w:color w:val="000000"/>
          <w:sz w:val="21"/>
          <w:szCs w:val="21"/>
          <w:lang w:eastAsia="en-GB"/>
        </w:rPr>
        <w:t>: All DIS versions showed strong convergent validity with the VHI (r = -0.85) and SF-36 (r = 0.72) and were correlated with blinded perceptual speech ratings. DIS-17 and DIS-6 achieved comparable sensitivity (0.93 and 0.88) and specificity (0.84 and 0.86, respectively). Test-retest reliability was high (r = 0.98), with estimated MCIDs and within-subject variability provided. Group differences were observed, with lower DIS scores in ataxia and Parkinson's disease compared to Huntington's disease. </w:t>
      </w:r>
      <w:r w:rsidR="0050212E" w:rsidRPr="0050212E">
        <w:rPr>
          <w:rFonts w:ascii="Roboto" w:eastAsia="Times New Roman" w:hAnsi="Roboto" w:cs="Times New Roman"/>
          <w:b/>
          <w:bCs/>
          <w:color w:val="000000"/>
          <w:sz w:val="21"/>
          <w:szCs w:val="21"/>
          <w:lang w:eastAsia="en-GB"/>
        </w:rPr>
        <w:t>CONCLUSIONS</w:t>
      </w:r>
      <w:r w:rsidR="0050212E" w:rsidRPr="0050212E">
        <w:rPr>
          <w:rFonts w:ascii="Roboto" w:eastAsia="Times New Roman" w:hAnsi="Roboto" w:cs="Times New Roman"/>
          <w:color w:val="000000"/>
          <w:sz w:val="21"/>
          <w:szCs w:val="21"/>
          <w:lang w:eastAsia="en-GB"/>
        </w:rPr>
        <w:t>: The DIS is a valid, reliable, and practical PRO for quantifying the impact of dysarthria on quality of life. Longitudinal responsiveness remains to be established.</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b/>
          <w:bCs/>
          <w:color w:val="000000"/>
          <w:sz w:val="21"/>
          <w:szCs w:val="21"/>
          <w:lang w:eastAsia="en-GB"/>
        </w:rPr>
        <w:t>Access or request full text: </w:t>
      </w:r>
      <w:hyperlink r:id="rId19" w:tgtFrame="_blank" w:history="1">
        <w:r w:rsidR="0050212E" w:rsidRPr="0050212E">
          <w:rPr>
            <w:rFonts w:ascii="Roboto" w:eastAsia="Times New Roman" w:hAnsi="Roboto" w:cs="Times New Roman"/>
            <w:color w:val="0066CC"/>
            <w:sz w:val="21"/>
            <w:szCs w:val="21"/>
            <w:lang w:eastAsia="en-GB"/>
          </w:rPr>
          <w:t>https://libkey.io/10.1007/s00415-026-13740-1</w:t>
        </w:r>
      </w:hyperlink>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i/>
          <w:iCs/>
          <w:color w:val="000000"/>
          <w:sz w:val="21"/>
          <w:szCs w:val="21"/>
          <w:shd w:val="clear" w:color="auto" w:fill="FFFFFF"/>
          <w:lang w:eastAsia="en-GB"/>
        </w:rPr>
        <w:t>You will need your </w:t>
      </w:r>
      <w:hyperlink r:id="rId20" w:history="1">
        <w:r w:rsidR="0050212E" w:rsidRPr="0050212E">
          <w:rPr>
            <w:rFonts w:ascii="Roboto" w:eastAsia="Times New Roman" w:hAnsi="Roboto" w:cs="Times New Roman"/>
            <w:i/>
            <w:iCs/>
            <w:color w:val="0066CC"/>
            <w:sz w:val="21"/>
            <w:szCs w:val="21"/>
            <w:lang w:eastAsia="en-GB"/>
          </w:rPr>
          <w:t>NHS OpenAthens account</w:t>
        </w:r>
      </w:hyperlink>
      <w:r w:rsidR="0050212E" w:rsidRPr="0050212E">
        <w:rPr>
          <w:rFonts w:ascii="Roboto" w:eastAsia="Times New Roman" w:hAnsi="Roboto" w:cs="Times New Roman"/>
          <w:i/>
          <w:iCs/>
          <w:color w:val="000000"/>
          <w:sz w:val="21"/>
          <w:szCs w:val="21"/>
          <w:shd w:val="clear" w:color="auto" w:fill="FFFFFF"/>
          <w:lang w:eastAsia="en-GB"/>
        </w:rPr>
        <w:t> to access the full text of licenced content.</w:t>
      </w:r>
      <w:r w:rsidR="0050212E" w:rsidRPr="0050212E">
        <w:rPr>
          <w:rFonts w:ascii="Roboto" w:eastAsia="Times New Roman" w:hAnsi="Roboto" w:cs="Times New Roman"/>
          <w:color w:val="000000"/>
          <w:sz w:val="21"/>
          <w:szCs w:val="21"/>
          <w:lang w:eastAsia="en-GB"/>
        </w:rPr>
        <w:br/>
      </w:r>
      <w:r w:rsidR="0050212E" w:rsidRPr="0050212E">
        <w:rPr>
          <w:rFonts w:ascii="Roboto" w:eastAsia="Times New Roman" w:hAnsi="Roboto" w:cs="Times New Roman"/>
          <w:i/>
          <w:iCs/>
          <w:color w:val="000000"/>
          <w:sz w:val="21"/>
          <w:szCs w:val="21"/>
          <w:shd w:val="clear" w:color="auto" w:fill="FFFFFF"/>
          <w:lang w:eastAsia="en-GB"/>
        </w:rPr>
        <w:t>This service is provided to the NHS in England by NHSE Workforce, Training &amp; Education.</w:t>
      </w:r>
    </w:p>
    <w:p w14:paraId="137F075F" w14:textId="77777777" w:rsidR="003E7AE2" w:rsidRPr="003E7AE2" w:rsidRDefault="00F95BB2" w:rsidP="003E7AE2">
      <w:pPr>
        <w:pStyle w:val="Heading1"/>
      </w:pPr>
      <w:bookmarkStart w:id="2" w:name="_Toc236661549"/>
      <w:r>
        <w:t>Dysphag</w:t>
      </w:r>
      <w:r w:rsidR="003E7AE2">
        <w:t>ia</w:t>
      </w:r>
      <w:bookmarkEnd w:id="2"/>
    </w:p>
    <w:p w14:paraId="4551828A" w14:textId="69DF6D8F"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1. </w:t>
      </w:r>
      <w:r w:rsidRPr="0050212E">
        <w:rPr>
          <w:rFonts w:ascii="Roboto" w:eastAsia="Times New Roman" w:hAnsi="Roboto" w:cs="Times New Roman"/>
          <w:b/>
          <w:bCs/>
          <w:color w:val="000000"/>
          <w:sz w:val="21"/>
          <w:szCs w:val="21"/>
          <w:lang w:eastAsia="en-GB"/>
        </w:rPr>
        <w:t>Patterns of and Experiences with Dysphagia in People with hypermobile Ehlers Danlos Syndrome (</w:t>
      </w:r>
      <w:proofErr w:type="spellStart"/>
      <w:r w:rsidRPr="0050212E">
        <w:rPr>
          <w:rFonts w:ascii="Roboto" w:eastAsia="Times New Roman" w:hAnsi="Roboto" w:cs="Times New Roman"/>
          <w:b/>
          <w:bCs/>
          <w:color w:val="000000"/>
          <w:sz w:val="21"/>
          <w:szCs w:val="21"/>
          <w:lang w:eastAsia="en-GB"/>
        </w:rPr>
        <w:t>hEDS</w:t>
      </w:r>
      <w:proofErr w:type="spellEnd"/>
      <w:r w:rsidRPr="0050212E">
        <w:rPr>
          <w:rFonts w:ascii="Roboto" w:eastAsia="Times New Roman" w:hAnsi="Roboto" w:cs="Times New Roman"/>
          <w:b/>
          <w:bCs/>
          <w:color w:val="000000"/>
          <w:sz w:val="21"/>
          <w:szCs w:val="21"/>
          <w:lang w:eastAsia="en-GB"/>
        </w:rPr>
        <w:t>) with or Without Dysautonomia - A Qualitative Study.</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Britton, </w:t>
      </w:r>
      <w:proofErr w:type="spellStart"/>
      <w:proofErr w:type="gramStart"/>
      <w:r w:rsidRPr="0050212E">
        <w:rPr>
          <w:rFonts w:ascii="Roboto" w:eastAsia="Times New Roman" w:hAnsi="Roboto" w:cs="Times New Roman"/>
          <w:color w:val="000000"/>
          <w:sz w:val="21"/>
          <w:szCs w:val="21"/>
          <w:lang w:eastAsia="en-GB"/>
        </w:rPr>
        <w:t>Deanna;Stonick</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Karyssa;Lopez</w:t>
      </w:r>
      <w:proofErr w:type="spellEnd"/>
      <w:proofErr w:type="gramEnd"/>
      <w:r w:rsidRPr="0050212E">
        <w:rPr>
          <w:rFonts w:ascii="Roboto" w:eastAsia="Times New Roman" w:hAnsi="Roboto" w:cs="Times New Roman"/>
          <w:color w:val="000000"/>
          <w:sz w:val="21"/>
          <w:szCs w:val="21"/>
          <w:lang w:eastAsia="en-GB"/>
        </w:rPr>
        <w:t>, Diana and Graville, Donna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Dysphagia</w:t>
      </w:r>
      <w:r w:rsidR="00601676">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lastRenderedPageBreak/>
        <w:t>Abstract: </w:t>
      </w:r>
      <w:r w:rsidRPr="0050212E">
        <w:rPr>
          <w:rFonts w:ascii="Roboto" w:eastAsia="Times New Roman" w:hAnsi="Roboto" w:cs="Times New Roman"/>
          <w:color w:val="000000"/>
          <w:sz w:val="21"/>
          <w:szCs w:val="21"/>
          <w:lang w:eastAsia="en-GB"/>
        </w:rPr>
        <w:t>Ehlers Danlos Syndromes (EDS) are hereditary connective tissue disorders. The purpose of this participatory action qualitative research study is to describe experiences of dysphagia in people with hypermobile EDS (</w:t>
      </w:r>
      <w:proofErr w:type="spellStart"/>
      <w:r w:rsidRPr="0050212E">
        <w:rPr>
          <w:rFonts w:ascii="Roboto" w:eastAsia="Times New Roman" w:hAnsi="Roboto" w:cs="Times New Roman"/>
          <w:color w:val="000000"/>
          <w:sz w:val="21"/>
          <w:szCs w:val="21"/>
          <w:lang w:eastAsia="en-GB"/>
        </w:rPr>
        <w:t>hEDS</w:t>
      </w:r>
      <w:proofErr w:type="spellEnd"/>
      <w:r w:rsidRPr="0050212E">
        <w:rPr>
          <w:rFonts w:ascii="Roboto" w:eastAsia="Times New Roman" w:hAnsi="Roboto" w:cs="Times New Roman"/>
          <w:color w:val="000000"/>
          <w:sz w:val="21"/>
          <w:szCs w:val="21"/>
          <w:lang w:eastAsia="en-GB"/>
        </w:rPr>
        <w:t xml:space="preserve">). Ten participants (8 F, 1 M, and 1 nonbinary-assigned F at birth; ages 19-52 years) with </w:t>
      </w:r>
      <w:proofErr w:type="spellStart"/>
      <w:r w:rsidRPr="0050212E">
        <w:rPr>
          <w:rFonts w:ascii="Roboto" w:eastAsia="Times New Roman" w:hAnsi="Roboto" w:cs="Times New Roman"/>
          <w:color w:val="000000"/>
          <w:sz w:val="21"/>
          <w:szCs w:val="21"/>
          <w:lang w:eastAsia="en-GB"/>
        </w:rPr>
        <w:t>hEDS</w:t>
      </w:r>
      <w:proofErr w:type="spellEnd"/>
      <w:r w:rsidRPr="0050212E">
        <w:rPr>
          <w:rFonts w:ascii="Roboto" w:eastAsia="Times New Roman" w:hAnsi="Roboto" w:cs="Times New Roman"/>
          <w:color w:val="000000"/>
          <w:sz w:val="21"/>
          <w:szCs w:val="21"/>
          <w:lang w:eastAsia="en-GB"/>
        </w:rPr>
        <w:t xml:space="preserve"> completed the Eating Assessment Tool (EAT-10; </w:t>
      </w:r>
      <w:proofErr w:type="spellStart"/>
      <w:r w:rsidRPr="0050212E">
        <w:rPr>
          <w:rFonts w:ascii="Roboto" w:eastAsia="Times New Roman" w:hAnsi="Roboto" w:cs="Times New Roman"/>
          <w:color w:val="000000"/>
          <w:sz w:val="21"/>
          <w:szCs w:val="21"/>
          <w:lang w:eastAsia="en-GB"/>
        </w:rPr>
        <w:t>Belafsky</w:t>
      </w:r>
      <w:proofErr w:type="spellEnd"/>
      <w:r w:rsidRPr="0050212E">
        <w:rPr>
          <w:rFonts w:ascii="Roboto" w:eastAsia="Times New Roman" w:hAnsi="Roboto" w:cs="Times New Roman"/>
          <w:color w:val="000000"/>
          <w:sz w:val="21"/>
          <w:szCs w:val="21"/>
          <w:lang w:eastAsia="en-GB"/>
        </w:rPr>
        <w:t xml:space="preserve"> et al., 2008), Reflux Symptom Index (RSI; </w:t>
      </w:r>
      <w:proofErr w:type="spellStart"/>
      <w:r w:rsidRPr="0050212E">
        <w:rPr>
          <w:rFonts w:ascii="Roboto" w:eastAsia="Times New Roman" w:hAnsi="Roboto" w:cs="Times New Roman"/>
          <w:color w:val="000000"/>
          <w:sz w:val="21"/>
          <w:szCs w:val="21"/>
          <w:lang w:eastAsia="en-GB"/>
        </w:rPr>
        <w:t>Belafsky</w:t>
      </w:r>
      <w:proofErr w:type="spellEnd"/>
      <w:r w:rsidRPr="0050212E">
        <w:rPr>
          <w:rFonts w:ascii="Roboto" w:eastAsia="Times New Roman" w:hAnsi="Roboto" w:cs="Times New Roman"/>
          <w:color w:val="000000"/>
          <w:sz w:val="21"/>
          <w:szCs w:val="21"/>
          <w:lang w:eastAsia="en-GB"/>
        </w:rPr>
        <w:t xml:space="preserve"> et al., 2002), and semi-structured interviews. The interviews were audio-recorded, transcribed and verified. Phenomenological qualitative research methods were used to code (</w:t>
      </w:r>
      <w:proofErr w:type="spellStart"/>
      <w:r w:rsidRPr="0050212E">
        <w:rPr>
          <w:rFonts w:ascii="Roboto" w:eastAsia="Times New Roman" w:hAnsi="Roboto" w:cs="Times New Roman"/>
          <w:color w:val="000000"/>
          <w:sz w:val="21"/>
          <w:szCs w:val="21"/>
          <w:lang w:eastAsia="en-GB"/>
        </w:rPr>
        <w:t>Atlas.ti</w:t>
      </w:r>
      <w:proofErr w:type="spellEnd"/>
      <w:r w:rsidRPr="0050212E">
        <w:rPr>
          <w:rFonts w:ascii="Roboto" w:eastAsia="Times New Roman" w:hAnsi="Roboto" w:cs="Times New Roman"/>
          <w:color w:val="000000"/>
          <w:sz w:val="21"/>
          <w:szCs w:val="21"/>
          <w:lang w:eastAsia="en-GB"/>
        </w:rPr>
        <w:t xml:space="preserve"> Web) and develop themes. All participants affirmed dysphagia symptoms via the EAT-10 (M = 17.65; SD = 6.93; Range = 4-29) with 6/10 requiring a feeding tube at some point. Most participants also affirmed reflux symptoms on the RSI (M = 20.30; SD = 8.3; Range 7-36). Four preliminary themes related to dysphagia in people with </w:t>
      </w:r>
      <w:proofErr w:type="spellStart"/>
      <w:r w:rsidRPr="0050212E">
        <w:rPr>
          <w:rFonts w:ascii="Roboto" w:eastAsia="Times New Roman" w:hAnsi="Roboto" w:cs="Times New Roman"/>
          <w:color w:val="000000"/>
          <w:sz w:val="21"/>
          <w:szCs w:val="21"/>
          <w:lang w:eastAsia="en-GB"/>
        </w:rPr>
        <w:t>hEDS</w:t>
      </w:r>
      <w:proofErr w:type="spellEnd"/>
      <w:r w:rsidRPr="0050212E">
        <w:rPr>
          <w:rFonts w:ascii="Roboto" w:eastAsia="Times New Roman" w:hAnsi="Roboto" w:cs="Times New Roman"/>
          <w:color w:val="000000"/>
          <w:sz w:val="21"/>
          <w:szCs w:val="21"/>
          <w:lang w:eastAsia="en-GB"/>
        </w:rPr>
        <w:t xml:space="preserve"> were identified: (1) Swallowing discomfort is common, requiring cognitive and physical effort; (2) Gastrointestinal symptoms impact deglutition and often lead to a need for supplemental nutrition / hydration; (3) </w:t>
      </w:r>
      <w:proofErr w:type="spellStart"/>
      <w:r w:rsidRPr="0050212E">
        <w:rPr>
          <w:rFonts w:ascii="Roboto" w:eastAsia="Times New Roman" w:hAnsi="Roboto" w:cs="Times New Roman"/>
          <w:color w:val="000000"/>
          <w:sz w:val="21"/>
          <w:szCs w:val="21"/>
          <w:lang w:eastAsia="en-GB"/>
        </w:rPr>
        <w:t>Dyspnea</w:t>
      </w:r>
      <w:proofErr w:type="spellEnd"/>
      <w:r w:rsidRPr="0050212E">
        <w:rPr>
          <w:rFonts w:ascii="Roboto" w:eastAsia="Times New Roman" w:hAnsi="Roboto" w:cs="Times New Roman"/>
          <w:color w:val="000000"/>
          <w:sz w:val="21"/>
          <w:szCs w:val="21"/>
          <w:lang w:eastAsia="en-GB"/>
        </w:rPr>
        <w:t xml:space="preserve"> is common, and may intermittently impact respiratory-swallowing coordination; and (4) Dismissal of physiological symptoms as "anxiety" by at least one provider prior to acknowledgment of an underlying condition occurs frequently. Dysphagia is commonly reported by people with </w:t>
      </w:r>
      <w:proofErr w:type="spellStart"/>
      <w:r w:rsidRPr="0050212E">
        <w:rPr>
          <w:rFonts w:ascii="Roboto" w:eastAsia="Times New Roman" w:hAnsi="Roboto" w:cs="Times New Roman"/>
          <w:color w:val="000000"/>
          <w:sz w:val="21"/>
          <w:szCs w:val="21"/>
          <w:lang w:eastAsia="en-GB"/>
        </w:rPr>
        <w:t>hEDS</w:t>
      </w:r>
      <w:proofErr w:type="spellEnd"/>
      <w:r w:rsidRPr="0050212E">
        <w:rPr>
          <w:rFonts w:ascii="Roboto" w:eastAsia="Times New Roman" w:hAnsi="Roboto" w:cs="Times New Roman"/>
          <w:color w:val="000000"/>
          <w:sz w:val="21"/>
          <w:szCs w:val="21"/>
          <w:lang w:eastAsia="en-GB"/>
        </w:rPr>
        <w:t xml:space="preserve"> and appears to be related to underlying symptoms of </w:t>
      </w:r>
      <w:proofErr w:type="spellStart"/>
      <w:r w:rsidRPr="0050212E">
        <w:rPr>
          <w:rFonts w:ascii="Roboto" w:eastAsia="Times New Roman" w:hAnsi="Roboto" w:cs="Times New Roman"/>
          <w:color w:val="000000"/>
          <w:sz w:val="21"/>
          <w:szCs w:val="21"/>
          <w:lang w:eastAsia="en-GB"/>
        </w:rPr>
        <w:t>hEDS</w:t>
      </w:r>
      <w:proofErr w:type="spellEnd"/>
      <w:r w:rsidRPr="0050212E">
        <w:rPr>
          <w:rFonts w:ascii="Roboto" w:eastAsia="Times New Roman" w:hAnsi="Roboto" w:cs="Times New Roman"/>
          <w:color w:val="000000"/>
          <w:sz w:val="21"/>
          <w:szCs w:val="21"/>
          <w:lang w:eastAsia="en-GB"/>
        </w:rPr>
        <w:t xml:space="preserve"> and/or dysautonomia. Further research is needed to elucidate the impact and mechanisms of impairments associated with </w:t>
      </w:r>
      <w:proofErr w:type="spellStart"/>
      <w:r w:rsidRPr="0050212E">
        <w:rPr>
          <w:rFonts w:ascii="Roboto" w:eastAsia="Times New Roman" w:hAnsi="Roboto" w:cs="Times New Roman"/>
          <w:color w:val="000000"/>
          <w:sz w:val="21"/>
          <w:szCs w:val="21"/>
          <w:lang w:eastAsia="en-GB"/>
        </w:rPr>
        <w:t>hEDS</w:t>
      </w:r>
      <w:proofErr w:type="spellEnd"/>
      <w:r w:rsidRPr="0050212E">
        <w:rPr>
          <w:rFonts w:ascii="Roboto" w:eastAsia="Times New Roman" w:hAnsi="Roboto" w:cs="Times New Roman"/>
          <w:color w:val="000000"/>
          <w:sz w:val="21"/>
          <w:szCs w:val="21"/>
          <w:lang w:eastAsia="en-GB"/>
        </w:rPr>
        <w:t xml:space="preserve"> and dysautonomia across all phases of swallowing.</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1" w:tgtFrame="_blank" w:history="1">
        <w:r w:rsidRPr="0050212E">
          <w:rPr>
            <w:rFonts w:ascii="Roboto" w:eastAsia="Times New Roman" w:hAnsi="Roboto" w:cs="Times New Roman"/>
            <w:color w:val="0066CC"/>
            <w:sz w:val="21"/>
            <w:szCs w:val="21"/>
            <w:lang w:eastAsia="en-GB"/>
          </w:rPr>
          <w:t>https://libkey.io/10.1007/s00455-026-10952-5</w:t>
        </w:r>
      </w:hyperlink>
    </w:p>
    <w:p w14:paraId="6309C5F1" w14:textId="236CB876"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2. </w:t>
      </w:r>
      <w:r w:rsidRPr="0050212E">
        <w:rPr>
          <w:rFonts w:ascii="Roboto" w:eastAsia="Times New Roman" w:hAnsi="Roboto" w:cs="Times New Roman"/>
          <w:b/>
          <w:bCs/>
          <w:color w:val="000000"/>
          <w:sz w:val="21"/>
          <w:szCs w:val="21"/>
          <w:lang w:eastAsia="en-GB"/>
        </w:rPr>
        <w:t>In adult patients with brainstem strokes, does dysphagia rehabilitation improve health-related outcomes compared to usual care for inpatients? A systematic review and meta-analysis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Gorton, </w:t>
      </w:r>
      <w:proofErr w:type="spellStart"/>
      <w:proofErr w:type="gramStart"/>
      <w:r w:rsidRPr="0050212E">
        <w:rPr>
          <w:rFonts w:ascii="Roboto" w:eastAsia="Times New Roman" w:hAnsi="Roboto" w:cs="Times New Roman"/>
          <w:color w:val="000000"/>
          <w:sz w:val="21"/>
          <w:szCs w:val="21"/>
          <w:lang w:eastAsia="en-GB"/>
        </w:rPr>
        <w:t>Julia;Pond</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Ellenie;Joseph</w:t>
      </w:r>
      <w:proofErr w:type="spellEnd"/>
      <w:proofErr w:type="gramEnd"/>
      <w:r w:rsidRPr="0050212E">
        <w:rPr>
          <w:rFonts w:ascii="Roboto" w:eastAsia="Times New Roman" w:hAnsi="Roboto" w:cs="Times New Roman"/>
          <w:color w:val="000000"/>
          <w:sz w:val="21"/>
          <w:szCs w:val="21"/>
          <w:lang w:eastAsia="en-GB"/>
        </w:rPr>
        <w:t xml:space="preserve">, Trishna and D'Souza, </w:t>
      </w:r>
      <w:proofErr w:type="spellStart"/>
      <w:r w:rsidRPr="0050212E">
        <w:rPr>
          <w:rFonts w:ascii="Roboto" w:eastAsia="Times New Roman" w:hAnsi="Roboto" w:cs="Times New Roman"/>
          <w:color w:val="000000"/>
          <w:sz w:val="21"/>
          <w:szCs w:val="21"/>
          <w:lang w:eastAsia="en-GB"/>
        </w:rPr>
        <w:t>Aruska</w:t>
      </w:r>
      <w:proofErr w:type="spellEnd"/>
      <w:r w:rsidRPr="0050212E">
        <w:rPr>
          <w:rFonts w:ascii="Roboto" w:eastAsia="Times New Roman" w:hAnsi="Roboto" w:cs="Times New Roman"/>
          <w:color w:val="000000"/>
          <w:sz w:val="21"/>
          <w:szCs w:val="21"/>
          <w:lang w:eastAsia="en-GB"/>
        </w:rPr>
        <w:t xml:space="preserve"> 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Jul 22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Disability &amp; Rehabilitation 1-17</w:t>
      </w:r>
      <w:r w:rsidR="00601676">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PURPOSE: This systematic review aimed to explore and synthesise the effectiveness of dysphagia rehabilitation on swallow function in inpatients with brainstem stroke. METHOD: Five electronic databases were searched using pre-specified criteria in June 2025. Independent screening, data extraction, and quality ratings were completed. Interventions were categorised into "traditional swallowing therapy" or "inclusion of devices." Studies were appraised using the Mixed Methods Appraisal Tool. Narrative synthesis was used to describe study characteristics, intervention details, and study outcomes. Meta-analyses were conducted when three or more randomised controlled trials on a single intervention were available. RESULT: Twelve studies were included with 443 participants. Five studies investigated "traditional swallowing therapy" alone, and seven investigated devices. All studies demonstrated improvement in swallowing function with low certainty. Meta-analysis of Repetitive Transcranial Magnetic Stimulation (</w:t>
      </w:r>
      <w:proofErr w:type="spellStart"/>
      <w:r w:rsidRPr="0050212E">
        <w:rPr>
          <w:rFonts w:ascii="Roboto" w:eastAsia="Times New Roman" w:hAnsi="Roboto" w:cs="Times New Roman"/>
          <w:color w:val="000000"/>
          <w:sz w:val="21"/>
          <w:szCs w:val="21"/>
          <w:lang w:eastAsia="en-GB"/>
        </w:rPr>
        <w:t>rTMS</w:t>
      </w:r>
      <w:proofErr w:type="spellEnd"/>
      <w:r w:rsidRPr="0050212E">
        <w:rPr>
          <w:rFonts w:ascii="Roboto" w:eastAsia="Times New Roman" w:hAnsi="Roboto" w:cs="Times New Roman"/>
          <w:color w:val="000000"/>
          <w:sz w:val="21"/>
          <w:szCs w:val="21"/>
          <w:lang w:eastAsia="en-GB"/>
        </w:rPr>
        <w:t>) indicated initial improvements in swallow function immediately post-intervention compared to controls; however, findings were not maintained by 2 months post-intervention. CONCLUSION: Both traditional swallowing therapy and therapy with devices may be effective at improving swallowing function and reducing reliance on enteral feeding in inpatients with brainstem stroke. Further high-quality research is required to understand which interventions and dosages are most effective for brainstem stroke</w:t>
      </w:r>
      <w:r w:rsidR="00601676">
        <w:rPr>
          <w:rFonts w:ascii="Roboto" w:eastAsia="Times New Roman" w:hAnsi="Roboto" w:cs="Times New Roman"/>
          <w:color w:val="000000"/>
          <w:sz w:val="21"/>
          <w:szCs w:val="21"/>
          <w:lang w:eastAsia="en-GB"/>
        </w:rPr>
        <w:t>.</w:t>
      </w:r>
      <w:r w:rsidR="00601676">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2" w:tgtFrame="_blank" w:history="1">
        <w:r w:rsidRPr="0050212E">
          <w:rPr>
            <w:rFonts w:ascii="Roboto" w:eastAsia="Times New Roman" w:hAnsi="Roboto" w:cs="Times New Roman"/>
            <w:color w:val="0066CC"/>
            <w:sz w:val="21"/>
            <w:szCs w:val="21"/>
            <w:lang w:eastAsia="en-GB"/>
          </w:rPr>
          <w:t>https://libkey.io/10.1080/09638288.2026.2704460</w:t>
        </w:r>
      </w:hyperlink>
    </w:p>
    <w:p w14:paraId="08FB9847" w14:textId="3BA6E2A4"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3. </w:t>
      </w:r>
      <w:r w:rsidRPr="0050212E">
        <w:rPr>
          <w:rFonts w:ascii="Roboto" w:eastAsia="Times New Roman" w:hAnsi="Roboto" w:cs="Times New Roman"/>
          <w:b/>
          <w:bCs/>
          <w:color w:val="000000"/>
          <w:sz w:val="21"/>
          <w:szCs w:val="21"/>
          <w:lang w:eastAsia="en-GB"/>
        </w:rPr>
        <w:t>Comparison of liquid swallowing kinematics during tablet swallowing with liquid and liquid-only swallowing in patients with dysphagia: A pilot study.</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Hara, </w:t>
      </w:r>
      <w:proofErr w:type="spellStart"/>
      <w:r w:rsidRPr="0050212E">
        <w:rPr>
          <w:rFonts w:ascii="Roboto" w:eastAsia="Times New Roman" w:hAnsi="Roboto" w:cs="Times New Roman"/>
          <w:color w:val="000000"/>
          <w:sz w:val="21"/>
          <w:szCs w:val="21"/>
          <w:lang w:eastAsia="en-GB"/>
        </w:rPr>
        <w:t>Kazuya;Kunieda</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Kenjiro;Okamoto</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Keishi;Ohno</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Tomohisa;Shigematsu</w:t>
      </w:r>
      <w:proofErr w:type="spellEnd"/>
      <w:r w:rsidRPr="0050212E">
        <w:rPr>
          <w:rFonts w:ascii="Roboto" w:eastAsia="Times New Roman" w:hAnsi="Roboto" w:cs="Times New Roman"/>
          <w:color w:val="000000"/>
          <w:sz w:val="21"/>
          <w:szCs w:val="21"/>
          <w:lang w:eastAsia="en-GB"/>
        </w:rPr>
        <w:t>, Takashi and Fujishima, Ichiro</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Jul 07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Auris, Nasus, Larynx 53(4), pp. 617–622</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OBJECTIVE</w:t>
      </w:r>
      <w:r w:rsidRPr="0050212E">
        <w:rPr>
          <w:rFonts w:ascii="Roboto" w:eastAsia="Times New Roman" w:hAnsi="Roboto" w:cs="Times New Roman"/>
          <w:color w:val="000000"/>
          <w:sz w:val="21"/>
          <w:szCs w:val="21"/>
          <w:lang w:eastAsia="en-GB"/>
        </w:rPr>
        <w:t xml:space="preserve">: Difficulty swallowing oral medications is associated with an increased risk of liquid aspiration or penetration in patients with dysphagia. However, the underlying mechanism remains unclear. This study aimed to compare the swallowing kinematics during tablet swallowing with liquid and liquid swallowing alone in patients with dysphagia using a </w:t>
      </w:r>
      <w:proofErr w:type="spellStart"/>
      <w:r w:rsidRPr="0050212E">
        <w:rPr>
          <w:rFonts w:ascii="Roboto" w:eastAsia="Times New Roman" w:hAnsi="Roboto" w:cs="Times New Roman"/>
          <w:color w:val="000000"/>
          <w:sz w:val="21"/>
          <w:szCs w:val="21"/>
          <w:lang w:eastAsia="en-GB"/>
        </w:rPr>
        <w:t>videofluoroscopic</w:t>
      </w:r>
      <w:proofErr w:type="spellEnd"/>
      <w:r w:rsidRPr="0050212E">
        <w:rPr>
          <w:rFonts w:ascii="Roboto" w:eastAsia="Times New Roman" w:hAnsi="Roboto" w:cs="Times New Roman"/>
          <w:color w:val="000000"/>
          <w:sz w:val="21"/>
          <w:szCs w:val="21"/>
          <w:lang w:eastAsia="en-GB"/>
        </w:rPr>
        <w:t xml:space="preserve"> swallowing study (VFSS). The presence of a tablet was hypothesized to alter swallowing kinematics and delay the initiation of pharyngeal swallowing.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In this single-</w:t>
      </w:r>
      <w:proofErr w:type="spellStart"/>
      <w:r w:rsidRPr="0050212E">
        <w:rPr>
          <w:rFonts w:ascii="Roboto" w:eastAsia="Times New Roman" w:hAnsi="Roboto" w:cs="Times New Roman"/>
          <w:color w:val="000000"/>
          <w:sz w:val="21"/>
          <w:szCs w:val="21"/>
          <w:lang w:eastAsia="en-GB"/>
        </w:rPr>
        <w:t>center</w:t>
      </w:r>
      <w:proofErr w:type="spellEnd"/>
      <w:r w:rsidRPr="0050212E">
        <w:rPr>
          <w:rFonts w:ascii="Roboto" w:eastAsia="Times New Roman" w:hAnsi="Roboto" w:cs="Times New Roman"/>
          <w:color w:val="000000"/>
          <w:sz w:val="21"/>
          <w:szCs w:val="21"/>
          <w:lang w:eastAsia="en-GB"/>
        </w:rPr>
        <w:t xml:space="preserve"> retrospective study, 40 patients with mild dysphagia (mean age: 70.9+/-17.6 years; 67.5% with cerebrovascular disease) underwent VFSS. Temporal parameters (oral transit time [OTT], pharyngeal transit time [PTT], pharyngeal delay time [PDT], and laryngeal elevation delay time [LEDT]) were compared between tablet swallowing with thin liquid and swallowing thin liquid alone using the Wilcoxon signed-rank test with Holm's method.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No significant differences were observed in the OTT or PTT. However, tablet swallowing was associated with significantly prolonged PDT and LEDT compared with liquid swallowing alone. During tablet swallowing, 20% of the patients exhibited a penetration-aspiration scale score of &gt;= 2, and 10% exhibited silent aspiration, although these events were not statistically associated with prolonged temporal parameters. </w:t>
      </w:r>
      <w:r w:rsidRPr="0050212E">
        <w:rPr>
          <w:rFonts w:ascii="Roboto" w:eastAsia="Times New Roman" w:hAnsi="Roboto" w:cs="Times New Roman"/>
          <w:b/>
          <w:bCs/>
          <w:color w:val="000000"/>
          <w:sz w:val="21"/>
          <w:szCs w:val="21"/>
          <w:lang w:eastAsia="en-GB"/>
        </w:rPr>
        <w:t>CONCLUSION</w:t>
      </w:r>
      <w:r w:rsidRPr="0050212E">
        <w:rPr>
          <w:rFonts w:ascii="Roboto" w:eastAsia="Times New Roman" w:hAnsi="Roboto" w:cs="Times New Roman"/>
          <w:color w:val="000000"/>
          <w:sz w:val="21"/>
          <w:szCs w:val="21"/>
          <w:lang w:eastAsia="en-GB"/>
        </w:rPr>
        <w:t>: Compared with liquid alone, swallowing tablets with liquid significantly delayed the initiation of pharyngeal swallowing. Consequently, even patients with mild dysphagia who can safely swallow liquids may be at an increased risk of aspiration, including silent aspiration, when ingesting tablets. These findings highlight the importance of specific assessments for tablet swallowing to ensure safe medication administration.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3" w:tgtFrame="_blank" w:history="1">
        <w:r w:rsidRPr="0050212E">
          <w:rPr>
            <w:rFonts w:ascii="Roboto" w:eastAsia="Times New Roman" w:hAnsi="Roboto" w:cs="Times New Roman"/>
            <w:color w:val="0066CC"/>
            <w:sz w:val="21"/>
            <w:szCs w:val="21"/>
            <w:lang w:eastAsia="en-GB"/>
          </w:rPr>
          <w:t>https://libkey.io/10.1016/j.anl.2026.06.014</w:t>
        </w:r>
      </w:hyperlink>
    </w:p>
    <w:p w14:paraId="370D9A95" w14:textId="12D52CDB"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4. </w:t>
      </w:r>
      <w:r w:rsidRPr="0050212E">
        <w:rPr>
          <w:rFonts w:ascii="Roboto" w:eastAsia="Times New Roman" w:hAnsi="Roboto" w:cs="Times New Roman"/>
          <w:b/>
          <w:bCs/>
          <w:color w:val="000000"/>
          <w:sz w:val="21"/>
          <w:szCs w:val="21"/>
          <w:lang w:eastAsia="en-GB"/>
        </w:rPr>
        <w:t>Effects of comprehensive oral care on nasogastric tube removal in long-term care residents with dysphagia: A multi-</w:t>
      </w:r>
      <w:proofErr w:type="spellStart"/>
      <w:r w:rsidRPr="0050212E">
        <w:rPr>
          <w:rFonts w:ascii="Roboto" w:eastAsia="Times New Roman" w:hAnsi="Roboto" w:cs="Times New Roman"/>
          <w:b/>
          <w:bCs/>
          <w:color w:val="000000"/>
          <w:sz w:val="21"/>
          <w:szCs w:val="21"/>
          <w:lang w:eastAsia="en-GB"/>
        </w:rPr>
        <w:t>center</w:t>
      </w:r>
      <w:proofErr w:type="spellEnd"/>
      <w:r w:rsidRPr="0050212E">
        <w:rPr>
          <w:rFonts w:ascii="Roboto" w:eastAsia="Times New Roman" w:hAnsi="Roboto" w:cs="Times New Roman"/>
          <w:b/>
          <w:bCs/>
          <w:color w:val="000000"/>
          <w:sz w:val="21"/>
          <w:szCs w:val="21"/>
          <w:lang w:eastAsia="en-GB"/>
        </w:rPr>
        <w:t xml:space="preserve"> randomized controlled trial.</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Hsiao, </w:t>
      </w:r>
      <w:proofErr w:type="spellStart"/>
      <w:r w:rsidRPr="0050212E">
        <w:rPr>
          <w:rFonts w:ascii="Roboto" w:eastAsia="Times New Roman" w:hAnsi="Roboto" w:cs="Times New Roman"/>
          <w:color w:val="000000"/>
          <w:sz w:val="21"/>
          <w:szCs w:val="21"/>
          <w:lang w:eastAsia="en-GB"/>
        </w:rPr>
        <w:t>Ming-</w:t>
      </w:r>
      <w:proofErr w:type="gramStart"/>
      <w:r w:rsidRPr="0050212E">
        <w:rPr>
          <w:rFonts w:ascii="Roboto" w:eastAsia="Times New Roman" w:hAnsi="Roboto" w:cs="Times New Roman"/>
          <w:color w:val="000000"/>
          <w:sz w:val="21"/>
          <w:szCs w:val="21"/>
          <w:lang w:eastAsia="en-GB"/>
        </w:rPr>
        <w:t>Yen;Shih</w:t>
      </w:r>
      <w:proofErr w:type="spellEnd"/>
      <w:proofErr w:type="gramEnd"/>
      <w:r w:rsidRPr="0050212E">
        <w:rPr>
          <w:rFonts w:ascii="Roboto" w:eastAsia="Times New Roman" w:hAnsi="Roboto" w:cs="Times New Roman"/>
          <w:color w:val="000000"/>
          <w:sz w:val="21"/>
          <w:szCs w:val="21"/>
          <w:lang w:eastAsia="en-GB"/>
        </w:rPr>
        <w:t>, Pei-Hsuan and Wang, Tyng-Guey</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Jul 02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Archives of Gerontology &amp; Geriatrics 150, pp. 106350</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 xml:space="preserve">Oral care is essential for residents in long-term care (LTC) facilities to reduce complications such as aspiration pneumonia. While routine oral hygiene is standard practice, comprehensive oral care (COC)-which includes facial and intraoral muscle massage, salivary gland stimulation, and oral moisturization-may further enhance swallowing function. However, evidence linking COC directly to nasogastric (NG) tube removal remains limited. This study evaluated the effectiveness of COC in facilitating NG tube removal and improving swallowing function among LTC residents with dysphagia. A </w:t>
      </w:r>
      <w:proofErr w:type="spellStart"/>
      <w:r w:rsidRPr="0050212E">
        <w:rPr>
          <w:rFonts w:ascii="Roboto" w:eastAsia="Times New Roman" w:hAnsi="Roboto" w:cs="Times New Roman"/>
          <w:color w:val="000000"/>
          <w:sz w:val="21"/>
          <w:szCs w:val="21"/>
          <w:lang w:eastAsia="en-GB"/>
        </w:rPr>
        <w:t>multicenter</w:t>
      </w:r>
      <w:proofErr w:type="spellEnd"/>
      <w:r w:rsidRPr="0050212E">
        <w:rPr>
          <w:rFonts w:ascii="Roboto" w:eastAsia="Times New Roman" w:hAnsi="Roboto" w:cs="Times New Roman"/>
          <w:color w:val="000000"/>
          <w:sz w:val="21"/>
          <w:szCs w:val="21"/>
          <w:lang w:eastAsia="en-GB"/>
        </w:rPr>
        <w:t xml:space="preserve">, open-label randomized controlled trial was conducted across eight LTC facilities. The intervention group (n = 40) received daily one-on-one COC sessions lasting 30-40 min, while the control group (n = 37) received routine oral hygiene. Participants were followed for six months, with outcomes including NG tube removal, swallowing function, body weight, and pneumonia incidence. At six months, the COC group demonstrated a significantly higher NG tube removal rate, with eight participants achieving full oral intake (p </w:t>
      </w:r>
      <w:r w:rsidRPr="0050212E">
        <w:rPr>
          <w:rFonts w:ascii="Roboto" w:eastAsia="Times New Roman" w:hAnsi="Roboto" w:cs="Times New Roman"/>
          <w:color w:val="000000"/>
          <w:sz w:val="21"/>
          <w:szCs w:val="21"/>
          <w:lang w:eastAsia="en-GB"/>
        </w:rPr>
        <w:lastRenderedPageBreak/>
        <w:t>= 0.005). Functional Oral Intake Scale scores were also significantly higher in the intervention group (p = 0.005). Time to NG tube removal ranged from 17 to 182 days. Under intention-to-treat principles, the NG tube removal rate remained significantly higher in the COC group (16.7%vs. 0%, p = 0.005). Competing risks analysis using the Aalen-Johansen estimator confirmed a 6-month cumulative incidence of NG tube removal of 14.6% in the COC group versus 0% in the control group (Gray's test: p = 0.005), with no significant between-group difference in mortality (p = 0.500). No significant differences were observed in body weight change or pneumonia incidence between groups. Among participants who successfully discontinued NG tube use, dementia was the most common underlying condition. These findings suggest that daily one-on-one COC is a feasible intervention in LTC settings and may improve swallowing function while facilitating NG tube removal in residents with dysphagia.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4" w:tgtFrame="_blank" w:history="1">
        <w:r w:rsidRPr="0050212E">
          <w:rPr>
            <w:rFonts w:ascii="Roboto" w:eastAsia="Times New Roman" w:hAnsi="Roboto" w:cs="Times New Roman"/>
            <w:color w:val="0066CC"/>
            <w:sz w:val="21"/>
            <w:szCs w:val="21"/>
            <w:lang w:eastAsia="en-GB"/>
          </w:rPr>
          <w:t>https://libkey.io/10.1016/j.archger.2026.106350</w:t>
        </w:r>
      </w:hyperlink>
    </w:p>
    <w:p w14:paraId="1FF02836" w14:textId="2A6263B1"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5. </w:t>
      </w:r>
      <w:r w:rsidRPr="0050212E">
        <w:rPr>
          <w:rFonts w:ascii="Roboto" w:eastAsia="Times New Roman" w:hAnsi="Roboto" w:cs="Times New Roman"/>
          <w:b/>
          <w:bCs/>
          <w:color w:val="000000"/>
          <w:sz w:val="21"/>
          <w:szCs w:val="21"/>
          <w:lang w:eastAsia="en-GB"/>
        </w:rPr>
        <w:t>Cough reflex testing for dysphagia severity and pneumonia risk after acute stroke: a prospective observational study.</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Jung, </w:t>
      </w:r>
      <w:proofErr w:type="spellStart"/>
      <w:r w:rsidRPr="0050212E">
        <w:rPr>
          <w:rFonts w:ascii="Roboto" w:eastAsia="Times New Roman" w:hAnsi="Roboto" w:cs="Times New Roman"/>
          <w:color w:val="000000"/>
          <w:sz w:val="21"/>
          <w:szCs w:val="21"/>
          <w:lang w:eastAsia="en-GB"/>
        </w:rPr>
        <w:t>Anne;Labeit</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Bendix;Oelenberg</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Stephan;Wueller</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Christina;Ahring</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Sigrid;Sauer</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Sonja;Schulze</w:t>
      </w:r>
      <w:proofErr w:type="spellEnd"/>
      <w:r w:rsidRPr="0050212E">
        <w:rPr>
          <w:rFonts w:ascii="Roboto" w:eastAsia="Times New Roman" w:hAnsi="Roboto" w:cs="Times New Roman"/>
          <w:color w:val="000000"/>
          <w:sz w:val="21"/>
          <w:szCs w:val="21"/>
          <w:lang w:eastAsia="en-GB"/>
        </w:rPr>
        <w:t xml:space="preserve"> Hillert, </w:t>
      </w:r>
      <w:proofErr w:type="spellStart"/>
      <w:r w:rsidRPr="0050212E">
        <w:rPr>
          <w:rFonts w:ascii="Roboto" w:eastAsia="Times New Roman" w:hAnsi="Roboto" w:cs="Times New Roman"/>
          <w:color w:val="000000"/>
          <w:sz w:val="21"/>
          <w:szCs w:val="21"/>
          <w:lang w:eastAsia="en-GB"/>
        </w:rPr>
        <w:t>Lisa-Marie;Hartwig</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Linda;Muhle</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Paul;Pilatus</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Anne;Warnecke</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Tobias;Dziewas</w:t>
      </w:r>
      <w:proofErr w:type="spellEnd"/>
      <w:r w:rsidRPr="0050212E">
        <w:rPr>
          <w:rFonts w:ascii="Roboto" w:eastAsia="Times New Roman" w:hAnsi="Roboto" w:cs="Times New Roman"/>
          <w:color w:val="000000"/>
          <w:sz w:val="21"/>
          <w:szCs w:val="21"/>
          <w:lang w:eastAsia="en-GB"/>
        </w:rPr>
        <w:t>, Rainer and Suntrup-Krueger, Sonja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Stroke &amp; Vascular Neurology</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INTRODUCTION</w:t>
      </w:r>
      <w:r w:rsidRPr="0050212E">
        <w:rPr>
          <w:rFonts w:ascii="Roboto" w:eastAsia="Times New Roman" w:hAnsi="Roboto" w:cs="Times New Roman"/>
          <w:color w:val="000000"/>
          <w:sz w:val="21"/>
          <w:szCs w:val="21"/>
          <w:lang w:eastAsia="en-GB"/>
        </w:rPr>
        <w:t>: Poststroke dysphagia and impaired cough reflex contribute to aspiration and pneumonia, yet the clinical value of cough reflex testing remains unclear. </w:t>
      </w:r>
      <w:r w:rsidRPr="0050212E">
        <w:rPr>
          <w:rFonts w:ascii="Roboto" w:eastAsia="Times New Roman" w:hAnsi="Roboto" w:cs="Times New Roman"/>
          <w:b/>
          <w:bCs/>
          <w:color w:val="000000"/>
          <w:sz w:val="21"/>
          <w:szCs w:val="21"/>
          <w:lang w:eastAsia="en-GB"/>
        </w:rPr>
        <w:t>PATIENTS AND METHODS</w:t>
      </w:r>
      <w:r w:rsidRPr="0050212E">
        <w:rPr>
          <w:rFonts w:ascii="Roboto" w:eastAsia="Times New Roman" w:hAnsi="Roboto" w:cs="Times New Roman"/>
          <w:color w:val="000000"/>
          <w:sz w:val="21"/>
          <w:szCs w:val="21"/>
          <w:lang w:eastAsia="en-GB"/>
        </w:rPr>
        <w:t xml:space="preserve">: In this prospective observational study, 395 patients who had an acute stroke admitted to an intensive care unit underwent </w:t>
      </w:r>
      <w:proofErr w:type="spellStart"/>
      <w:r w:rsidRPr="0050212E">
        <w:rPr>
          <w:rFonts w:ascii="Roboto" w:eastAsia="Times New Roman" w:hAnsi="Roboto" w:cs="Times New Roman"/>
          <w:color w:val="000000"/>
          <w:sz w:val="21"/>
          <w:szCs w:val="21"/>
          <w:lang w:eastAsia="en-GB"/>
        </w:rPr>
        <w:t>fiberoptic</w:t>
      </w:r>
      <w:proofErr w:type="spellEnd"/>
      <w:r w:rsidRPr="0050212E">
        <w:rPr>
          <w:rFonts w:ascii="Roboto" w:eastAsia="Times New Roman" w:hAnsi="Roboto" w:cs="Times New Roman"/>
          <w:color w:val="000000"/>
          <w:sz w:val="21"/>
          <w:szCs w:val="21"/>
          <w:lang w:eastAsia="en-GB"/>
        </w:rPr>
        <w:t xml:space="preserve"> endoscopic evaluation of swallowing and citric acid cough reflex testing at 0.4 mol/L. Dysphagia severity was rated using the </w:t>
      </w:r>
      <w:proofErr w:type="spellStart"/>
      <w:r w:rsidRPr="0050212E">
        <w:rPr>
          <w:rFonts w:ascii="Roboto" w:eastAsia="Times New Roman" w:hAnsi="Roboto" w:cs="Times New Roman"/>
          <w:color w:val="000000"/>
          <w:sz w:val="21"/>
          <w:szCs w:val="21"/>
          <w:lang w:eastAsia="en-GB"/>
        </w:rPr>
        <w:t>Fiberoptic</w:t>
      </w:r>
      <w:proofErr w:type="spellEnd"/>
      <w:r w:rsidRPr="0050212E">
        <w:rPr>
          <w:rFonts w:ascii="Roboto" w:eastAsia="Times New Roman" w:hAnsi="Roboto" w:cs="Times New Roman"/>
          <w:color w:val="000000"/>
          <w:sz w:val="21"/>
          <w:szCs w:val="21"/>
          <w:lang w:eastAsia="en-GB"/>
        </w:rPr>
        <w:t xml:space="preserve"> Endoscopic Dysphagia Severity Scale, with additional measures of secretion management, airway invasion and oral intake. Accuracy of cough reflex testing was calculated against </w:t>
      </w:r>
      <w:proofErr w:type="spellStart"/>
      <w:r w:rsidRPr="0050212E">
        <w:rPr>
          <w:rFonts w:ascii="Roboto" w:eastAsia="Times New Roman" w:hAnsi="Roboto" w:cs="Times New Roman"/>
          <w:color w:val="000000"/>
          <w:sz w:val="21"/>
          <w:szCs w:val="21"/>
          <w:lang w:eastAsia="en-GB"/>
        </w:rPr>
        <w:t>fiberoptic</w:t>
      </w:r>
      <w:proofErr w:type="spellEnd"/>
      <w:r w:rsidRPr="0050212E">
        <w:rPr>
          <w:rFonts w:ascii="Roboto" w:eastAsia="Times New Roman" w:hAnsi="Roboto" w:cs="Times New Roman"/>
          <w:color w:val="000000"/>
          <w:sz w:val="21"/>
          <w:szCs w:val="21"/>
          <w:lang w:eastAsia="en-GB"/>
        </w:rPr>
        <w:t xml:space="preserve"> endoscopic evaluation of swallowing. Ordinal and binary logistic regression assessed associations between cough reflex, dysphagia severity, pneumonia and mortality, including interactions.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xml:space="preserve">: </w:t>
      </w:r>
      <w:r w:rsidR="00601676">
        <w:rPr>
          <w:rFonts w:ascii="Roboto" w:eastAsia="Times New Roman" w:hAnsi="Roboto" w:cs="Times New Roman"/>
          <w:color w:val="000000"/>
          <w:sz w:val="21"/>
          <w:szCs w:val="21"/>
          <w:lang w:eastAsia="en-GB"/>
        </w:rPr>
        <w:t xml:space="preserve"> </w:t>
      </w:r>
      <w:r w:rsidR="00601676" w:rsidRPr="00601676">
        <w:rPr>
          <w:rFonts w:ascii="Roboto" w:eastAsia="Times New Roman" w:hAnsi="Roboto" w:cs="Times New Roman"/>
          <w:color w:val="000000"/>
          <w:sz w:val="21"/>
          <w:szCs w:val="21"/>
          <w:lang w:eastAsia="en-GB"/>
        </w:rPr>
        <w:t>Cough reflex testing showed 75% sensitivity and 55% specificity for silent aspiration and 78% sensitivity and 43% specificity for any aspiration. Absent or weakened cough reflex predicted severe dysphagia, impaired secretion management, increased aspiration risk, restricted oral intake and reduced spontaneous swallowing (p&lt;0.001). Older age, stroke severity, impaired cough reflex and dysphagia severity predicted mortality. Preserved cough reduced pneumonia risk only in mild dysphagia.</w:t>
      </w:r>
      <w:r w:rsidR="00601676">
        <w:rPr>
          <w:rFonts w:ascii="Roboto" w:eastAsia="Times New Roman" w:hAnsi="Roboto" w:cs="Times New Roman"/>
          <w:color w:val="000000"/>
          <w:sz w:val="21"/>
          <w:szCs w:val="21"/>
          <w:lang w:eastAsia="en-GB"/>
        </w:rPr>
        <w:t xml:space="preserve"> </w:t>
      </w:r>
      <w:r w:rsidRPr="0050212E">
        <w:rPr>
          <w:rFonts w:ascii="Roboto" w:eastAsia="Times New Roman" w:hAnsi="Roboto" w:cs="Times New Roman"/>
          <w:b/>
          <w:bCs/>
          <w:color w:val="000000"/>
          <w:sz w:val="21"/>
          <w:szCs w:val="21"/>
          <w:lang w:eastAsia="en-GB"/>
        </w:rPr>
        <w:t>DISCUSSION</w:t>
      </w:r>
      <w:r w:rsidRPr="0050212E">
        <w:rPr>
          <w:rFonts w:ascii="Roboto" w:eastAsia="Times New Roman" w:hAnsi="Roboto" w:cs="Times New Roman"/>
          <w:color w:val="000000"/>
          <w:sz w:val="21"/>
          <w:szCs w:val="21"/>
          <w:lang w:eastAsia="en-GB"/>
        </w:rPr>
        <w:t>: Impaired cough reflex independently predicted poststroke dysphagia severity, impaired secretion management, aspiration risk, restricted oral intake and poorer functional outcome. Preserved cough conferred protection against pneumonia only in mild dysphagia, whereas in moderate to severe dysphagia aspiration burden and systemic vulnerability likely predominate, limiting clinical relevance of cough testing. </w:t>
      </w:r>
      <w:r w:rsidRPr="0050212E">
        <w:rPr>
          <w:rFonts w:ascii="Roboto" w:eastAsia="Times New Roman" w:hAnsi="Roboto" w:cs="Times New Roman"/>
          <w:b/>
          <w:bCs/>
          <w:color w:val="000000"/>
          <w:sz w:val="21"/>
          <w:szCs w:val="21"/>
          <w:lang w:eastAsia="en-GB"/>
        </w:rPr>
        <w:t>CONCLUSION</w:t>
      </w:r>
      <w:r w:rsidRPr="0050212E">
        <w:rPr>
          <w:rFonts w:ascii="Roboto" w:eastAsia="Times New Roman" w:hAnsi="Roboto" w:cs="Times New Roman"/>
          <w:color w:val="000000"/>
          <w:sz w:val="21"/>
          <w:szCs w:val="21"/>
          <w:lang w:eastAsia="en-GB"/>
        </w:rPr>
        <w:t>: Cough reflex testing provides meaningful information on poststroke dysphagia severity and airway protection and may support risk stratification when instrumental swallowing assessment is unavailable.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5" w:tgtFrame="_blank" w:history="1">
        <w:r w:rsidRPr="0050212E">
          <w:rPr>
            <w:rFonts w:ascii="Roboto" w:eastAsia="Times New Roman" w:hAnsi="Roboto" w:cs="Times New Roman"/>
            <w:color w:val="0066CC"/>
            <w:sz w:val="21"/>
            <w:szCs w:val="21"/>
            <w:lang w:eastAsia="en-GB"/>
          </w:rPr>
          <w:t>https://libkey.io/10.1136/svn-2026-005197</w:t>
        </w:r>
      </w:hyperlink>
    </w:p>
    <w:p w14:paraId="5B43708A" w14:textId="388044A5"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6. </w:t>
      </w:r>
      <w:r w:rsidRPr="0050212E">
        <w:rPr>
          <w:rFonts w:ascii="Roboto" w:eastAsia="Times New Roman" w:hAnsi="Roboto" w:cs="Times New Roman"/>
          <w:b/>
          <w:bCs/>
          <w:color w:val="000000"/>
          <w:sz w:val="21"/>
          <w:szCs w:val="21"/>
          <w:lang w:eastAsia="en-GB"/>
        </w:rPr>
        <w:t>Measurement Techniques and Properties of Single-item Measures for the Evaluation of Oropharyngeal Muscle Function in Adults with Dysphagia: A Systematic Review using the COSMIN Framework.</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lastRenderedPageBreak/>
        <w:t>Authors:</w:t>
      </w:r>
      <w:r w:rsidRPr="0050212E">
        <w:rPr>
          <w:rFonts w:ascii="Roboto" w:eastAsia="Times New Roman" w:hAnsi="Roboto" w:cs="Times New Roman"/>
          <w:color w:val="000000"/>
          <w:sz w:val="21"/>
          <w:szCs w:val="21"/>
          <w:lang w:eastAsia="en-GB"/>
        </w:rPr>
        <w:t xml:space="preserve"> Kelly, </w:t>
      </w:r>
      <w:proofErr w:type="spellStart"/>
      <w:proofErr w:type="gramStart"/>
      <w:r w:rsidRPr="0050212E">
        <w:rPr>
          <w:rFonts w:ascii="Roboto" w:eastAsia="Times New Roman" w:hAnsi="Roboto" w:cs="Times New Roman"/>
          <w:color w:val="000000"/>
          <w:sz w:val="21"/>
          <w:szCs w:val="21"/>
          <w:lang w:eastAsia="en-GB"/>
        </w:rPr>
        <w:t>Eileen;Hako</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Joelle;Chapman</w:t>
      </w:r>
      <w:proofErr w:type="spellEnd"/>
      <w:proofErr w:type="gramEnd"/>
      <w:r w:rsidRPr="0050212E">
        <w:rPr>
          <w:rFonts w:ascii="Roboto" w:eastAsia="Times New Roman" w:hAnsi="Roboto" w:cs="Times New Roman"/>
          <w:color w:val="000000"/>
          <w:sz w:val="21"/>
          <w:szCs w:val="21"/>
          <w:lang w:eastAsia="en-GB"/>
        </w:rPr>
        <w:t xml:space="preserve">, Anna </w:t>
      </w:r>
      <w:proofErr w:type="spellStart"/>
      <w:proofErr w:type="gramStart"/>
      <w:r w:rsidRPr="0050212E">
        <w:rPr>
          <w:rFonts w:ascii="Roboto" w:eastAsia="Times New Roman" w:hAnsi="Roboto" w:cs="Times New Roman"/>
          <w:color w:val="000000"/>
          <w:sz w:val="21"/>
          <w:szCs w:val="21"/>
          <w:lang w:eastAsia="en-GB"/>
        </w:rPr>
        <w:t>Creagh;Fazzini</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Brigitta;Stephens</w:t>
      </w:r>
      <w:proofErr w:type="spellEnd"/>
      <w:proofErr w:type="gramEnd"/>
      <w:r w:rsidRPr="0050212E">
        <w:rPr>
          <w:rFonts w:ascii="Roboto" w:eastAsia="Times New Roman" w:hAnsi="Roboto" w:cs="Times New Roman"/>
          <w:color w:val="000000"/>
          <w:sz w:val="21"/>
          <w:szCs w:val="21"/>
          <w:lang w:eastAsia="en-GB"/>
        </w:rPr>
        <w:t xml:space="preserve">, Timothy </w:t>
      </w:r>
      <w:proofErr w:type="spellStart"/>
      <w:proofErr w:type="gramStart"/>
      <w:r w:rsidRPr="0050212E">
        <w:rPr>
          <w:rFonts w:ascii="Roboto" w:eastAsia="Times New Roman" w:hAnsi="Roboto" w:cs="Times New Roman"/>
          <w:color w:val="000000"/>
          <w:sz w:val="21"/>
          <w:szCs w:val="21"/>
          <w:lang w:eastAsia="en-GB"/>
        </w:rPr>
        <w:t>J.;Speyer</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Renee;Sutt</w:t>
      </w:r>
      <w:proofErr w:type="spellEnd"/>
      <w:proofErr w:type="gramEnd"/>
      <w:r w:rsidRPr="0050212E">
        <w:rPr>
          <w:rFonts w:ascii="Roboto" w:eastAsia="Times New Roman" w:hAnsi="Roboto" w:cs="Times New Roman"/>
          <w:color w:val="000000"/>
          <w:sz w:val="21"/>
          <w:szCs w:val="21"/>
          <w:lang w:eastAsia="en-GB"/>
        </w:rPr>
        <w:t xml:space="preserve">, Anna-Liisa and </w:t>
      </w:r>
      <w:proofErr w:type="spellStart"/>
      <w:r w:rsidRPr="0050212E">
        <w:rPr>
          <w:rFonts w:ascii="Roboto" w:eastAsia="Times New Roman" w:hAnsi="Roboto" w:cs="Times New Roman"/>
          <w:color w:val="000000"/>
          <w:sz w:val="21"/>
          <w:szCs w:val="21"/>
          <w:lang w:eastAsia="en-GB"/>
        </w:rPr>
        <w:t>Puthucheary</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Zudin</w:t>
      </w:r>
      <w:proofErr w:type="spellEnd"/>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Dysphagia</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 xml:space="preserve">Muscle dysfunction is a critical construct in dysphagia. Despite the availability of diverse techniques to evaluate muscle function, a comprehensive synthesis of measurement items and their properties is lacking. A systematic review of studies examining the measurement techniques used to directly evaluate oropharyngeal muscle function was performed. Studies investigating the use of surface electromyography, tongue dynamometry, ultrasound, high-resolution pharyngeal manometry, magnetic resonance imaging and computed tomography and reporting measurement properties in line with the </w:t>
      </w:r>
      <w:proofErr w:type="spellStart"/>
      <w:r w:rsidRPr="0050212E">
        <w:rPr>
          <w:rFonts w:ascii="Roboto" w:eastAsia="Times New Roman" w:hAnsi="Roboto" w:cs="Times New Roman"/>
          <w:color w:val="000000"/>
          <w:sz w:val="21"/>
          <w:szCs w:val="21"/>
          <w:lang w:eastAsia="en-GB"/>
        </w:rPr>
        <w:t>COnsensus</w:t>
      </w:r>
      <w:proofErr w:type="spellEnd"/>
      <w:r w:rsidRPr="0050212E">
        <w:rPr>
          <w:rFonts w:ascii="Roboto" w:eastAsia="Times New Roman" w:hAnsi="Roboto" w:cs="Times New Roman"/>
          <w:color w:val="000000"/>
          <w:sz w:val="21"/>
          <w:szCs w:val="21"/>
          <w:lang w:eastAsia="en-GB"/>
        </w:rPr>
        <w:t xml:space="preserve">-based Standards for the selection of health Measurement </w:t>
      </w:r>
      <w:proofErr w:type="spellStart"/>
      <w:r w:rsidRPr="0050212E">
        <w:rPr>
          <w:rFonts w:ascii="Roboto" w:eastAsia="Times New Roman" w:hAnsi="Roboto" w:cs="Times New Roman"/>
          <w:color w:val="000000"/>
          <w:sz w:val="21"/>
          <w:szCs w:val="21"/>
          <w:lang w:eastAsia="en-GB"/>
        </w:rPr>
        <w:t>InstrumeNts</w:t>
      </w:r>
      <w:proofErr w:type="spellEnd"/>
      <w:r w:rsidRPr="0050212E">
        <w:rPr>
          <w:rFonts w:ascii="Roboto" w:eastAsia="Times New Roman" w:hAnsi="Roboto" w:cs="Times New Roman"/>
          <w:color w:val="000000"/>
          <w:sz w:val="21"/>
          <w:szCs w:val="21"/>
          <w:lang w:eastAsia="en-GB"/>
        </w:rPr>
        <w:t xml:space="preserve"> (COSMIN) were included. Measurement outcomes derived from these techniques were operationalised as single-item measures. Methodological quality was evaluated using the </w:t>
      </w:r>
      <w:proofErr w:type="spellStart"/>
      <w:r w:rsidRPr="0050212E">
        <w:rPr>
          <w:rFonts w:ascii="Roboto" w:eastAsia="Times New Roman" w:hAnsi="Roboto" w:cs="Times New Roman"/>
          <w:color w:val="000000"/>
          <w:sz w:val="21"/>
          <w:szCs w:val="21"/>
          <w:lang w:eastAsia="en-GB"/>
        </w:rPr>
        <w:t>QualSyst</w:t>
      </w:r>
      <w:proofErr w:type="spellEnd"/>
      <w:r w:rsidRPr="0050212E">
        <w:rPr>
          <w:rFonts w:ascii="Roboto" w:eastAsia="Times New Roman" w:hAnsi="Roboto" w:cs="Times New Roman"/>
          <w:color w:val="000000"/>
          <w:sz w:val="21"/>
          <w:szCs w:val="21"/>
          <w:lang w:eastAsia="en-GB"/>
        </w:rPr>
        <w:t xml:space="preserve"> tool. From the 6279 records, 125 eligible studies were identified. The breakdown of techniques was surface electromyography (n = 33), tongue dynamometry (n = 34), ultrasound (n = 17), high-resolution pharyngeal manometry (n = 15), magnetic resonance imaging (n = 5), computed tomography (n = 4) and combined techniques (n = 17). Single-item measures were heterogenous, covering a range of domains including muscle activation, coordination, strength, endurance, composition, thickness, and kinematics. Studies focused predominantly on oral rather than pharyngeal musculature. Validity (n = 117) was widely reported, primarily via known-group validity or hypothesis testing. Fewer studies examined reliability (n = 20) and responsiveness (n = 25); however, where reported, results indicated excellent intra- and inter-rater reliability and responsiveness to therapeutic interventions. A diverse range of single-item measures were identified across included measurement techniques. Measurement properties were sparsely reported. Future research should focus on rigorous measurement instrument design and standardisation to comprehensively evaluate the underlying mechanisms of dysphagia.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6" w:tgtFrame="_blank" w:history="1">
        <w:r w:rsidRPr="0050212E">
          <w:rPr>
            <w:rFonts w:ascii="Roboto" w:eastAsia="Times New Roman" w:hAnsi="Roboto" w:cs="Times New Roman"/>
            <w:color w:val="0066CC"/>
            <w:sz w:val="21"/>
            <w:szCs w:val="21"/>
            <w:lang w:eastAsia="en-GB"/>
          </w:rPr>
          <w:t>https://libkey.io/10.1007/s00455-026-10957-0</w:t>
        </w:r>
      </w:hyperlink>
    </w:p>
    <w:p w14:paraId="45413E91" w14:textId="54ED3967"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7. </w:t>
      </w:r>
      <w:r w:rsidRPr="0050212E">
        <w:rPr>
          <w:rFonts w:ascii="Roboto" w:eastAsia="Times New Roman" w:hAnsi="Roboto" w:cs="Times New Roman"/>
          <w:b/>
          <w:bCs/>
          <w:color w:val="000000"/>
          <w:sz w:val="21"/>
          <w:szCs w:val="21"/>
          <w:lang w:eastAsia="en-GB"/>
        </w:rPr>
        <w:t>Effects of Exercise Interventions on Radiation-Induced Trismus and Dysphagia in Patients With Nasopharyngeal Carcinoma: A Systematic Review and Meta-Analysis of Randomized Controlled Trials.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Li, </w:t>
      </w:r>
      <w:proofErr w:type="spellStart"/>
      <w:r w:rsidRPr="0050212E">
        <w:rPr>
          <w:rFonts w:ascii="Roboto" w:eastAsia="Times New Roman" w:hAnsi="Roboto" w:cs="Times New Roman"/>
          <w:color w:val="000000"/>
          <w:sz w:val="21"/>
          <w:szCs w:val="21"/>
          <w:lang w:eastAsia="en-GB"/>
        </w:rPr>
        <w:t>Jia;Huang</w:t>
      </w:r>
      <w:proofErr w:type="spellEnd"/>
      <w:r w:rsidRPr="0050212E">
        <w:rPr>
          <w:rFonts w:ascii="Roboto" w:eastAsia="Times New Roman" w:hAnsi="Roboto" w:cs="Times New Roman"/>
          <w:color w:val="000000"/>
          <w:sz w:val="21"/>
          <w:szCs w:val="21"/>
          <w:lang w:eastAsia="en-GB"/>
        </w:rPr>
        <w:t>, Zehao and Chair, Sek Ying</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Cancer Nursing</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Trismus and dysphagia are common symptoms in patients with nasopharyngeal carcinoma (NPC); however, the effectiveness of exercise interventions in this population remains unclear. </w:t>
      </w:r>
      <w:r w:rsidRPr="0050212E">
        <w:rPr>
          <w:rFonts w:ascii="Roboto" w:eastAsia="Times New Roman" w:hAnsi="Roboto" w:cs="Times New Roman"/>
          <w:b/>
          <w:bCs/>
          <w:color w:val="000000"/>
          <w:sz w:val="21"/>
          <w:szCs w:val="21"/>
          <w:lang w:eastAsia="en-GB"/>
        </w:rPr>
        <w:t>OBJECTIVE</w:t>
      </w:r>
      <w:r w:rsidRPr="0050212E">
        <w:rPr>
          <w:rFonts w:ascii="Roboto" w:eastAsia="Times New Roman" w:hAnsi="Roboto" w:cs="Times New Roman"/>
          <w:color w:val="000000"/>
          <w:sz w:val="21"/>
          <w:szCs w:val="21"/>
          <w:lang w:eastAsia="en-GB"/>
        </w:rPr>
        <w:t>: To systematically evaluate the effectiveness of exercise interventions for trismus and dysphagia in patients with NPC.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xml:space="preserve">: Five English databases and 3 Chinese databases were searched. Two reviewers independently assessed the risk of bias using the Cochrane Risk of Bias tool. </w:t>
      </w:r>
      <w:proofErr w:type="spellStart"/>
      <w:r w:rsidRPr="0050212E">
        <w:rPr>
          <w:rFonts w:ascii="Roboto" w:eastAsia="Times New Roman" w:hAnsi="Roboto" w:cs="Times New Roman"/>
          <w:color w:val="000000"/>
          <w:sz w:val="21"/>
          <w:szCs w:val="21"/>
          <w:lang w:eastAsia="en-GB"/>
        </w:rPr>
        <w:t>RevMan</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RevMan</w:t>
      </w:r>
      <w:proofErr w:type="spellEnd"/>
      <w:r w:rsidRPr="0050212E">
        <w:rPr>
          <w:rFonts w:ascii="Roboto" w:eastAsia="Times New Roman" w:hAnsi="Roboto" w:cs="Times New Roman"/>
          <w:color w:val="000000"/>
          <w:sz w:val="21"/>
          <w:szCs w:val="21"/>
          <w:lang w:eastAsia="en-GB"/>
        </w:rPr>
        <w:t xml:space="preserve"> 5.4.1) and R statistical software (RStudio 2026.04.0+526) were used for data synthesis.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xml:space="preserve">: </w:t>
      </w:r>
      <w:r w:rsidR="00C66B7D" w:rsidRPr="00C66B7D">
        <w:rPr>
          <w:rFonts w:ascii="Roboto" w:eastAsia="Times New Roman" w:hAnsi="Roboto" w:cs="Times New Roman"/>
          <w:color w:val="000000"/>
          <w:sz w:val="21"/>
          <w:szCs w:val="21"/>
          <w:lang w:eastAsia="en-GB"/>
        </w:rPr>
        <w:t xml:space="preserve">Seventeen randomized controlled trials involving 1569 participants were included in this review. The meta-analysis revealed that exercise interventions were more effective than the controls in reducing the incidence (595 participants, risk ratio = 0.54, 95% confidence interval [CI]: 0.44-0.68, P &lt; .0001, I2 = 0, moderate certainty) and severity of trismus (833 </w:t>
      </w:r>
      <w:r w:rsidR="00C66B7D" w:rsidRPr="00C66B7D">
        <w:rPr>
          <w:rFonts w:ascii="Roboto" w:eastAsia="Times New Roman" w:hAnsi="Roboto" w:cs="Times New Roman"/>
          <w:color w:val="000000"/>
          <w:sz w:val="21"/>
          <w:szCs w:val="21"/>
          <w:lang w:eastAsia="en-GB"/>
        </w:rPr>
        <w:lastRenderedPageBreak/>
        <w:t>participants, risk ratio = 0.47, 95% CI: 0.31-0.70, P = .003, I2 = 5%, moderate certainty), improving swallowing function (293 participants, mean difference = -0.94, 95% CI: -1.19 to -0.69, P &lt; .00001, I2 = 0% low certainty), enhancing the efficacy of dysphagia treatment and quality of life, and reducing the risk of aspiration pneumonia and choking cough.</w:t>
      </w:r>
      <w:r w:rsidR="00C66B7D">
        <w:rPr>
          <w:rFonts w:ascii="Roboto" w:eastAsia="Times New Roman" w:hAnsi="Roboto" w:cs="Times New Roman"/>
          <w:color w:val="000000"/>
          <w:sz w:val="21"/>
          <w:szCs w:val="21"/>
          <w:lang w:eastAsia="en-GB"/>
        </w:rPr>
        <w:t xml:space="preserve">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This review indicates that exercise interventions could significantly reduce the incidence and severity of trismus, improve interincisal distance and swallowing function, enhance the efficacy of dysphagia treatment and quality of life, and decrease the risk of aspiration pneumonia and choking cough. Further studies are needed to strengthen the current evidence. </w:t>
      </w:r>
      <w:r w:rsidRPr="0050212E">
        <w:rPr>
          <w:rFonts w:ascii="Roboto" w:eastAsia="Times New Roman" w:hAnsi="Roboto" w:cs="Times New Roman"/>
          <w:b/>
          <w:bCs/>
          <w:color w:val="000000"/>
          <w:sz w:val="21"/>
          <w:szCs w:val="21"/>
          <w:lang w:eastAsia="en-GB"/>
        </w:rPr>
        <w:t>IMPLICATIONS FOR PRACTICE</w:t>
      </w:r>
      <w:r w:rsidRPr="0050212E">
        <w:rPr>
          <w:rFonts w:ascii="Roboto" w:eastAsia="Times New Roman" w:hAnsi="Roboto" w:cs="Times New Roman"/>
          <w:color w:val="000000"/>
          <w:sz w:val="21"/>
          <w:szCs w:val="21"/>
          <w:lang w:eastAsia="en-GB"/>
        </w:rPr>
        <w:t>: Exercise interventions could be integrated into the management of patients with NPC to address trismus and dysphagia.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7" w:tgtFrame="_blank" w:history="1">
        <w:r w:rsidRPr="0050212E">
          <w:rPr>
            <w:rFonts w:ascii="Roboto" w:eastAsia="Times New Roman" w:hAnsi="Roboto" w:cs="Times New Roman"/>
            <w:color w:val="0066CC"/>
            <w:sz w:val="21"/>
            <w:szCs w:val="21"/>
            <w:lang w:eastAsia="en-GB"/>
          </w:rPr>
          <w:t>https://libkey.io/10.1097/NCC.0000000000001588</w:t>
        </w:r>
      </w:hyperlink>
    </w:p>
    <w:p w14:paraId="730A11BF" w14:textId="7CC08741"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8. </w:t>
      </w:r>
      <w:r w:rsidRPr="0050212E">
        <w:rPr>
          <w:rFonts w:ascii="Roboto" w:eastAsia="Times New Roman" w:hAnsi="Roboto" w:cs="Times New Roman"/>
          <w:b/>
          <w:bCs/>
          <w:color w:val="000000"/>
          <w:sz w:val="21"/>
          <w:szCs w:val="21"/>
          <w:lang w:eastAsia="en-GB"/>
        </w:rPr>
        <w:t>Efficacy of pharyngeal balloon muscle resistance treatment in post-stroke dysphagia: A randomized controlled trial.</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Liang, </w:t>
      </w:r>
      <w:proofErr w:type="spellStart"/>
      <w:proofErr w:type="gramStart"/>
      <w:r w:rsidRPr="0050212E">
        <w:rPr>
          <w:rFonts w:ascii="Roboto" w:eastAsia="Times New Roman" w:hAnsi="Roboto" w:cs="Times New Roman"/>
          <w:color w:val="000000"/>
          <w:sz w:val="21"/>
          <w:szCs w:val="21"/>
          <w:lang w:eastAsia="en-GB"/>
        </w:rPr>
        <w:t>Chenfang;Xu</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Shuo;Shan</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Zihan;Chen</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Shaofan;Huang</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Zhiming;Su</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Xianyi;Jiang</w:t>
      </w:r>
      <w:proofErr w:type="spellEnd"/>
      <w:proofErr w:type="gram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Haoqing</w:t>
      </w:r>
      <w:proofErr w:type="spellEnd"/>
      <w:r w:rsidRPr="0050212E">
        <w:rPr>
          <w:rFonts w:ascii="Roboto" w:eastAsia="Times New Roman" w:hAnsi="Roboto" w:cs="Times New Roman"/>
          <w:color w:val="000000"/>
          <w:sz w:val="21"/>
          <w:szCs w:val="21"/>
          <w:lang w:eastAsia="en-GB"/>
        </w:rPr>
        <w:t xml:space="preserve"> and Jia, Jie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Jun 29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Journal of Stroke &amp; Cerebrovascular Diseases 35(9), pp. 108691</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Dysphagia affects a significant proportion of stroke survivors and leads to malnutrition and aspiration pneumonia. Conventional therapies often lack direct resistance targeting pharyngeal constrictor muscles. We aimed to evaluate the efficacy of Pharyngeal Balloon Muscle Resistance Treatment (PBMRT) on swallowing function in post-stroke patients.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xml:space="preserve">: This randomized controlled trial included 60 patients with post-stroke dysphagia. Patients were randomized into a Control Group (CG, n=30) receiving standard rehabilitation and an Intervention Group receiving standard rehabilitation plus Pharyngeal Balloon Muscle Resistance Treatment (PBMRTG, n=30). The PBMRT involved swallowing against a water-filled balloon to generate resistance. The primary outcome was the </w:t>
      </w:r>
      <w:proofErr w:type="spellStart"/>
      <w:r w:rsidRPr="0050212E">
        <w:rPr>
          <w:rFonts w:ascii="Roboto" w:eastAsia="Times New Roman" w:hAnsi="Roboto" w:cs="Times New Roman"/>
          <w:color w:val="000000"/>
          <w:sz w:val="21"/>
          <w:szCs w:val="21"/>
          <w:lang w:eastAsia="en-GB"/>
        </w:rPr>
        <w:t>Fiberoptic</w:t>
      </w:r>
      <w:proofErr w:type="spellEnd"/>
      <w:r w:rsidRPr="0050212E">
        <w:rPr>
          <w:rFonts w:ascii="Roboto" w:eastAsia="Times New Roman" w:hAnsi="Roboto" w:cs="Times New Roman"/>
          <w:color w:val="000000"/>
          <w:sz w:val="21"/>
          <w:szCs w:val="21"/>
          <w:lang w:eastAsia="en-GB"/>
        </w:rPr>
        <w:t xml:space="preserve"> Endoscopic Dysphagia Severity Scale (FEDSS). Secondary outcomes included the Mann Assessment of Swallowing Ability (MASA), Functional Oral Intake Scale (FOIS), Functional Communication Measure (FCM), Penetration-Aspiration Scale (PAS), and surface Electromyography (</w:t>
      </w:r>
      <w:proofErr w:type="spellStart"/>
      <w:r w:rsidRPr="0050212E">
        <w:rPr>
          <w:rFonts w:ascii="Roboto" w:eastAsia="Times New Roman" w:hAnsi="Roboto" w:cs="Times New Roman"/>
          <w:color w:val="000000"/>
          <w:sz w:val="21"/>
          <w:szCs w:val="21"/>
          <w:lang w:eastAsia="en-GB"/>
        </w:rPr>
        <w:t>sEMG</w:t>
      </w:r>
      <w:proofErr w:type="spellEnd"/>
      <w:r w:rsidRPr="0050212E">
        <w:rPr>
          <w:rFonts w:ascii="Roboto" w:eastAsia="Times New Roman" w:hAnsi="Roboto" w:cs="Times New Roman"/>
          <w:color w:val="000000"/>
          <w:sz w:val="21"/>
          <w:szCs w:val="21"/>
          <w:lang w:eastAsia="en-GB"/>
        </w:rPr>
        <w:t>) of submental muscles. Statistical analyses used Welch's two-sample t-test for continuous variables, Pearson's chi-squared test for categorical variables, and Wilcoxon rank-sum tests for ordinal outcomes. Subgroup analyses were performed using ANCOVA models adjusting for baseline values to assess interaction effects.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xml:space="preserve">: </w:t>
      </w:r>
      <w:r w:rsidR="00601676">
        <w:rPr>
          <w:rFonts w:ascii="Roboto" w:eastAsia="Times New Roman" w:hAnsi="Roboto" w:cs="Times New Roman"/>
          <w:color w:val="000000"/>
          <w:sz w:val="21"/>
          <w:szCs w:val="21"/>
          <w:lang w:eastAsia="en-GB"/>
        </w:rPr>
        <w:t xml:space="preserve"> </w:t>
      </w:r>
      <w:r w:rsidR="00601676" w:rsidRPr="00601676">
        <w:rPr>
          <w:rFonts w:ascii="Roboto" w:eastAsia="Times New Roman" w:hAnsi="Roboto" w:cs="Times New Roman"/>
          <w:color w:val="000000"/>
          <w:sz w:val="21"/>
          <w:szCs w:val="21"/>
          <w:lang w:eastAsia="en-GB"/>
        </w:rPr>
        <w:t xml:space="preserve">Sixty patients were enrolled and fifty-nine completed the study. At baseline, there were no significant differences in demographic characteristics or swallowing function scores between the two groups (p&gt;0.05). Following the intervention, the PBMRTG demonstrated significantly lower FEDSS scores (W=305.50, p=0.029) and PAS scores (W=271.50, p=0.011) than the CG. Conversely, the intervention group achieved significantly higher MASA scores (t=2.23, p=0.030) and FOIS levels (W=603.50, p=0.008). Notably, the improvement in FCM scores (ΔFCM) was significantly greater in the intervention group (W=674.00, p&lt;0.001). Furthermore, </w:t>
      </w:r>
      <w:proofErr w:type="spellStart"/>
      <w:r w:rsidR="00601676" w:rsidRPr="00601676">
        <w:rPr>
          <w:rFonts w:ascii="Roboto" w:eastAsia="Times New Roman" w:hAnsi="Roboto" w:cs="Times New Roman"/>
          <w:color w:val="000000"/>
          <w:sz w:val="21"/>
          <w:szCs w:val="21"/>
          <w:lang w:eastAsia="en-GB"/>
        </w:rPr>
        <w:t>sEMG</w:t>
      </w:r>
      <w:proofErr w:type="spellEnd"/>
      <w:r w:rsidR="00601676" w:rsidRPr="00601676">
        <w:rPr>
          <w:rFonts w:ascii="Roboto" w:eastAsia="Times New Roman" w:hAnsi="Roboto" w:cs="Times New Roman"/>
          <w:color w:val="000000"/>
          <w:sz w:val="21"/>
          <w:szCs w:val="21"/>
          <w:lang w:eastAsia="en-GB"/>
        </w:rPr>
        <w:t xml:space="preserve"> analysis revealed significantly higher mean amplitudes (t=2.13, p=0.038) and peak amplitudes (t=2.49, p=0.016) during swallowing tasks in the PBMRTG.</w:t>
      </w:r>
      <w:r w:rsidR="00601676">
        <w:rPr>
          <w:rFonts w:ascii="Roboto" w:eastAsia="Times New Roman" w:hAnsi="Roboto" w:cs="Times New Roman"/>
          <w:color w:val="000000"/>
          <w:sz w:val="21"/>
          <w:szCs w:val="21"/>
          <w:lang w:eastAsia="en-GB"/>
        </w:rPr>
        <w:t xml:space="preserve"> </w:t>
      </w:r>
      <w:r w:rsidRPr="0050212E">
        <w:rPr>
          <w:rFonts w:ascii="Roboto" w:eastAsia="Times New Roman" w:hAnsi="Roboto" w:cs="Times New Roman"/>
          <w:b/>
          <w:bCs/>
          <w:color w:val="000000"/>
          <w:sz w:val="21"/>
          <w:szCs w:val="21"/>
          <w:lang w:eastAsia="en-GB"/>
        </w:rPr>
        <w:t>CONCLUSION</w:t>
      </w:r>
      <w:r w:rsidRPr="0050212E">
        <w:rPr>
          <w:rFonts w:ascii="Roboto" w:eastAsia="Times New Roman" w:hAnsi="Roboto" w:cs="Times New Roman"/>
          <w:color w:val="000000"/>
          <w:sz w:val="21"/>
          <w:szCs w:val="21"/>
          <w:lang w:eastAsia="en-GB"/>
        </w:rPr>
        <w:t>: In this single-</w:t>
      </w:r>
      <w:proofErr w:type="spellStart"/>
      <w:r w:rsidRPr="0050212E">
        <w:rPr>
          <w:rFonts w:ascii="Roboto" w:eastAsia="Times New Roman" w:hAnsi="Roboto" w:cs="Times New Roman"/>
          <w:color w:val="000000"/>
          <w:sz w:val="21"/>
          <w:szCs w:val="21"/>
          <w:lang w:eastAsia="en-GB"/>
        </w:rPr>
        <w:t>center</w:t>
      </w:r>
      <w:proofErr w:type="spellEnd"/>
      <w:r w:rsidRPr="0050212E">
        <w:rPr>
          <w:rFonts w:ascii="Roboto" w:eastAsia="Times New Roman" w:hAnsi="Roboto" w:cs="Times New Roman"/>
          <w:color w:val="000000"/>
          <w:sz w:val="21"/>
          <w:szCs w:val="21"/>
          <w:lang w:eastAsia="en-GB"/>
        </w:rPr>
        <w:t xml:space="preserve"> exploratory randomized trial, PBMRT added to conventional rehabilitation was associated with greater short-term improvements in swallowing safety, functional oral intake, and submental muscle activation compared to conventional rehabilitation alone. Given the modest sample size, short intervention duration, and absence of long-term follow-up, these findings should be considered preliminary and warrant confirmation in larger </w:t>
      </w:r>
      <w:proofErr w:type="spellStart"/>
      <w:r w:rsidRPr="0050212E">
        <w:rPr>
          <w:rFonts w:ascii="Roboto" w:eastAsia="Times New Roman" w:hAnsi="Roboto" w:cs="Times New Roman"/>
          <w:color w:val="000000"/>
          <w:sz w:val="21"/>
          <w:szCs w:val="21"/>
          <w:lang w:eastAsia="en-GB"/>
        </w:rPr>
        <w:t>multicenter</w:t>
      </w:r>
      <w:proofErr w:type="spellEnd"/>
      <w:r w:rsidRPr="0050212E">
        <w:rPr>
          <w:rFonts w:ascii="Roboto" w:eastAsia="Times New Roman" w:hAnsi="Roboto" w:cs="Times New Roman"/>
          <w:color w:val="000000"/>
          <w:sz w:val="21"/>
          <w:szCs w:val="21"/>
          <w:lang w:eastAsia="en-GB"/>
        </w:rPr>
        <w:t xml:space="preserve"> trials.</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Access or request full text: </w:t>
      </w:r>
      <w:hyperlink r:id="rId28" w:tgtFrame="_blank" w:history="1">
        <w:r w:rsidRPr="0050212E">
          <w:rPr>
            <w:rFonts w:ascii="Roboto" w:eastAsia="Times New Roman" w:hAnsi="Roboto" w:cs="Times New Roman"/>
            <w:color w:val="0066CC"/>
            <w:sz w:val="21"/>
            <w:szCs w:val="21"/>
            <w:lang w:eastAsia="en-GB"/>
          </w:rPr>
          <w:t>https://libkey.io/10.1016/j.jstrokecerebrovasdis.2026.108691</w:t>
        </w:r>
      </w:hyperlink>
    </w:p>
    <w:p w14:paraId="6457BAC1" w14:textId="189BA1C3"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9. </w:t>
      </w:r>
      <w:r w:rsidRPr="0050212E">
        <w:rPr>
          <w:rFonts w:ascii="Roboto" w:eastAsia="Times New Roman" w:hAnsi="Roboto" w:cs="Times New Roman"/>
          <w:b/>
          <w:bCs/>
          <w:color w:val="000000"/>
          <w:sz w:val="21"/>
          <w:szCs w:val="21"/>
          <w:lang w:eastAsia="en-GB"/>
        </w:rPr>
        <w:t>Integrating acupuncture and modern rehabilitation for post-stroke dysphagia: narrative review of mechanisms, clinical evidence, and future perspectives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Liu, </w:t>
      </w:r>
      <w:proofErr w:type="spellStart"/>
      <w:r w:rsidRPr="0050212E">
        <w:rPr>
          <w:rFonts w:ascii="Roboto" w:eastAsia="Times New Roman" w:hAnsi="Roboto" w:cs="Times New Roman"/>
          <w:color w:val="000000"/>
          <w:sz w:val="21"/>
          <w:szCs w:val="21"/>
          <w:lang w:eastAsia="en-GB"/>
        </w:rPr>
        <w:t>Junbing;Chen</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Rong;Huang</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Qimi;Cheng</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Hui;Ren</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Shenghong</w:t>
      </w:r>
      <w:proofErr w:type="spellEnd"/>
      <w:r w:rsidRPr="0050212E">
        <w:rPr>
          <w:rFonts w:ascii="Roboto" w:eastAsia="Times New Roman" w:hAnsi="Roboto" w:cs="Times New Roman"/>
          <w:color w:val="000000"/>
          <w:sz w:val="21"/>
          <w:szCs w:val="21"/>
          <w:lang w:eastAsia="en-GB"/>
        </w:rPr>
        <w:t xml:space="preserve"> and Wang, Yue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May 26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Topics in Stroke Rehabilitation 1-20</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 xml:space="preserve">PURPOSE: To evaluate the synergistic mechanisms and clinical efficacy of integrating acupuncture with modern rehabilitation (including functional swallowing training and neuromuscular electrical stimulation) for post-stroke dysphagia (PSD). MATERIALS AND METHODS: This is a narrative review with a systematic literature approach. This review synthesizes evidence from recent randomized controlled trials, meta-analyses, and mechanistic studies on combined acupuncture and rehabilitation interventions for PSD. Key outcomes assessed include swallowing function (VFSS, FOIS), aspiration pneumonia rates, and quality-of-life measures. RESULTS: Current evidence demonstrates that combining acupuncture with conventional rehabilitation yields superior improvements in swallowing function, oral intake, and aspiration reduction compared to rehabilitation alone. Acupuncture enhances neuroplasticity, modulates central and peripheral swallowing circuits, and reduces inflammation, while rehabilitation strengthens neuromuscular coordination. Synergistic effects arise as acupuncture primes neural substrates, facilitating more efficient gains from rehabilitative exercises. However, challenges include heterogeneity in acupuncture protocols, limited mechanistic clarity, and practitioner variability. CONCLUSIONS: Integrative therapy combining acupuncture and modern rehabilitation represents a potentially promising strategy that requires further validation through </w:t>
      </w:r>
      <w:proofErr w:type="spellStart"/>
      <w:r w:rsidRPr="0050212E">
        <w:rPr>
          <w:rFonts w:ascii="Roboto" w:eastAsia="Times New Roman" w:hAnsi="Roboto" w:cs="Times New Roman"/>
          <w:color w:val="000000"/>
          <w:sz w:val="21"/>
          <w:szCs w:val="21"/>
          <w:lang w:eastAsia="en-GB"/>
        </w:rPr>
        <w:t>ri-gorously</w:t>
      </w:r>
      <w:proofErr w:type="spellEnd"/>
      <w:r w:rsidRPr="0050212E">
        <w:rPr>
          <w:rFonts w:ascii="Roboto" w:eastAsia="Times New Roman" w:hAnsi="Roboto" w:cs="Times New Roman"/>
          <w:color w:val="000000"/>
          <w:sz w:val="21"/>
          <w:szCs w:val="21"/>
          <w:lang w:eastAsia="en-GB"/>
        </w:rPr>
        <w:t xml:space="preserve"> designed studies for managing PSD. With further standardization, mechanistic research, and international collaboration, this approach could become a widely accepted, effective treatment to improve swallowing recovery and quality of life among stroke survivors.; plain-language-summary This narrative review employed a systematic literature search strategy. Databases searched included PubMed, Web of Science, CNKI (China National Knowledge Infrastructure), and </w:t>
      </w:r>
      <w:proofErr w:type="spellStart"/>
      <w:r w:rsidRPr="0050212E">
        <w:rPr>
          <w:rFonts w:ascii="Roboto" w:eastAsia="Times New Roman" w:hAnsi="Roboto" w:cs="Times New Roman"/>
          <w:color w:val="000000"/>
          <w:sz w:val="21"/>
          <w:szCs w:val="21"/>
          <w:lang w:eastAsia="en-GB"/>
        </w:rPr>
        <w:t>Wanfang</w:t>
      </w:r>
      <w:proofErr w:type="spellEnd"/>
      <w:r w:rsidRPr="0050212E">
        <w:rPr>
          <w:rFonts w:ascii="Roboto" w:eastAsia="Times New Roman" w:hAnsi="Roboto" w:cs="Times New Roman"/>
          <w:color w:val="000000"/>
          <w:sz w:val="21"/>
          <w:szCs w:val="21"/>
          <w:lang w:eastAsia="en-GB"/>
        </w:rPr>
        <w:t xml:space="preserve"> Data, covering the period from inception to October 2024. Search terms combined keywords including "post-stroke dysphagia," "acupuncture," "electroacupuncture," "rehabilitation," "swallowing training," "neuromuscular electrical stimulation," "randomized controlled trial," and "meta-analysis." Inclusion criteria were: (1) randomized controlled trials, prospective cohort studies, retrospective studies, systematic reviews, and meta-analyses; (2) studies evaluating acupuncture (manual or electroacupuncture) combined with rehabilitation interventions for post-stroke dysphagia; (3) studies reporting swallowing function outcomes (</w:t>
      </w:r>
      <w:proofErr w:type="spellStart"/>
      <w:r w:rsidRPr="0050212E">
        <w:rPr>
          <w:rFonts w:ascii="Roboto" w:eastAsia="Times New Roman" w:hAnsi="Roboto" w:cs="Times New Roman"/>
          <w:color w:val="000000"/>
          <w:sz w:val="21"/>
          <w:szCs w:val="21"/>
          <w:lang w:eastAsia="en-GB"/>
        </w:rPr>
        <w:t>Videofluoroscopic</w:t>
      </w:r>
      <w:proofErr w:type="spellEnd"/>
      <w:r w:rsidRPr="0050212E">
        <w:rPr>
          <w:rFonts w:ascii="Roboto" w:eastAsia="Times New Roman" w:hAnsi="Roboto" w:cs="Times New Roman"/>
          <w:color w:val="000000"/>
          <w:sz w:val="21"/>
          <w:szCs w:val="21"/>
          <w:lang w:eastAsia="en-GB"/>
        </w:rPr>
        <w:t xml:space="preserve"> Swallowing Study, Functional Oral Intake Scale, Standardized Swallowing Assessment, Water Swallow Test, etc.), quality of life, or complication rates. Two independent reviewers screened titles and abstracts, with disagreements resolved by discussion or a third reviewer. Language: English</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29" w:tgtFrame="_blank" w:history="1">
        <w:r w:rsidRPr="0050212E">
          <w:rPr>
            <w:rFonts w:ascii="Roboto" w:eastAsia="Times New Roman" w:hAnsi="Roboto" w:cs="Times New Roman"/>
            <w:color w:val="0066CC"/>
            <w:sz w:val="21"/>
            <w:szCs w:val="21"/>
            <w:lang w:eastAsia="en-GB"/>
          </w:rPr>
          <w:t>https://libkey.io/10.1080/10749357.2026.2670718</w:t>
        </w:r>
      </w:hyperlink>
    </w:p>
    <w:p w14:paraId="14A46D62" w14:textId="337E8AB2"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10. </w:t>
      </w:r>
      <w:r w:rsidRPr="0050212E">
        <w:rPr>
          <w:rFonts w:ascii="Roboto" w:eastAsia="Times New Roman" w:hAnsi="Roboto" w:cs="Times New Roman"/>
          <w:b/>
          <w:bCs/>
          <w:color w:val="000000"/>
          <w:sz w:val="21"/>
          <w:szCs w:val="21"/>
          <w:lang w:eastAsia="en-GB"/>
        </w:rPr>
        <w:t>Dysphagia as a geriatric syndrome: nationwide outcomes from the GEMIDAS registry.</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Lueg, </w:t>
      </w:r>
      <w:proofErr w:type="spellStart"/>
      <w:proofErr w:type="gramStart"/>
      <w:r w:rsidRPr="0050212E">
        <w:rPr>
          <w:rFonts w:ascii="Roboto" w:eastAsia="Times New Roman" w:hAnsi="Roboto" w:cs="Times New Roman"/>
          <w:color w:val="000000"/>
          <w:sz w:val="21"/>
          <w:szCs w:val="21"/>
          <w:lang w:eastAsia="en-GB"/>
        </w:rPr>
        <w:t>Gero;Willschrei</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Peter;Pourhassan</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Maryam;Peranovic</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Sara;Labeit</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Bendix;Dziewas</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Rainer;Wirth</w:t>
      </w:r>
      <w:proofErr w:type="spellEnd"/>
      <w:proofErr w:type="gramEnd"/>
      <w:r w:rsidRPr="0050212E">
        <w:rPr>
          <w:rFonts w:ascii="Roboto" w:eastAsia="Times New Roman" w:hAnsi="Roboto" w:cs="Times New Roman"/>
          <w:color w:val="000000"/>
          <w:sz w:val="21"/>
          <w:szCs w:val="21"/>
          <w:lang w:eastAsia="en-GB"/>
        </w:rPr>
        <w:t>, Rainer and Neuendorff, Nina Rosa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Jun 23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Archives of Gerontology &amp; Geriatrics 150, pp. 106341</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Dysphagia in geriatric patients is associated with adverse outcomes, but often remains under-recognized in routine care. Evidence from nationwide real-world geriatric cohorts is limited, particularly regarding in-hospital outcomes and discharge pathways.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We conducted a retrospective nationwide cohort study using the Geriatric Minimum Data Set (GEMIDAS Pro), including 1403,790 geriatric hospital admissions between 2006 and 2024. Dysphagia was defined by ICD-10-GM code R13 recorded as a main or secondary diagnosis. Endpoints were in-hospital mortality, in-hospital aspiration pneumonia, and discharge destination. Multivariable logistic regression models were adjusted for age, sex, functional status at admission (Barthel Index), stroke, and dementia.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ICD-coded dysphagia was documented in 6.4% of admissions. In-hospital mortality was higher in admissions with dysphagia than in those without dysphagia (9.8%vs 2.7%), as was in-hospital aspiration pneumonia (7.7%vs 0.3%). After full adjustment, dysphagia remained independently associated with in-hospital mortality (OR 1.77, 95% CI 1.72-1.82) and in-hospital aspiration pneumonia (OR 10.37, 95% CI 9.95-10.81). Among patients discharged alive, dysphagia independently predicted institutional discharge (OR 1.48, 95% CI 1.45-1.51). In patients admitted from private households, dysphagia remained independently associated with non-home discharge after full adjustment including stroke and dementia (adjusted OR 1.42, 95% CI 1.40-1.45).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In this nationwide cohort of hospitalized geriatric patients, clinically documented, ICD-coded dysphagia was independently associated with in-hospital mortality, aspiration pneumonia, and adverse discharge pathways. These findings support interpreting clinically documented, ICD-coded dysphagia as a marker of systemic vulnerability and complex care needs within a geriatric-syndrome framework.</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0" w:tgtFrame="_blank" w:history="1">
        <w:r w:rsidRPr="0050212E">
          <w:rPr>
            <w:rFonts w:ascii="Roboto" w:eastAsia="Times New Roman" w:hAnsi="Roboto" w:cs="Times New Roman"/>
            <w:color w:val="0066CC"/>
            <w:sz w:val="21"/>
            <w:szCs w:val="21"/>
            <w:lang w:eastAsia="en-GB"/>
          </w:rPr>
          <w:t>https://libkey.io/10.1016/j.archger.2026.106341</w:t>
        </w:r>
      </w:hyperlink>
    </w:p>
    <w:p w14:paraId="03051854" w14:textId="7663FCE1"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11. </w:t>
      </w:r>
      <w:r w:rsidRPr="0050212E">
        <w:rPr>
          <w:rFonts w:ascii="Roboto" w:eastAsia="Times New Roman" w:hAnsi="Roboto" w:cs="Times New Roman"/>
          <w:b/>
          <w:bCs/>
          <w:color w:val="000000"/>
          <w:sz w:val="21"/>
          <w:szCs w:val="21"/>
          <w:lang w:eastAsia="en-GB"/>
        </w:rPr>
        <w:t>Pharyngeal Dysphagia in Cancer: Characterizing Functional and Physiological Swallow Targets Across 12 Cancer Types.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w:t>
      </w:r>
      <w:proofErr w:type="spellStart"/>
      <w:r w:rsidRPr="0050212E">
        <w:rPr>
          <w:rFonts w:ascii="Roboto" w:eastAsia="Times New Roman" w:hAnsi="Roboto" w:cs="Times New Roman"/>
          <w:color w:val="000000"/>
          <w:sz w:val="21"/>
          <w:szCs w:val="21"/>
          <w:lang w:eastAsia="en-GB"/>
        </w:rPr>
        <w:t>Manduchi</w:t>
      </w:r>
      <w:proofErr w:type="spell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Beatrice;Warneke</w:t>
      </w:r>
      <w:proofErr w:type="spellEnd"/>
      <w:proofErr w:type="gramEnd"/>
      <w:r w:rsidRPr="0050212E">
        <w:rPr>
          <w:rFonts w:ascii="Roboto" w:eastAsia="Times New Roman" w:hAnsi="Roboto" w:cs="Times New Roman"/>
          <w:color w:val="000000"/>
          <w:sz w:val="21"/>
          <w:szCs w:val="21"/>
          <w:lang w:eastAsia="en-GB"/>
        </w:rPr>
        <w:t xml:space="preserve">, Carla </w:t>
      </w:r>
      <w:proofErr w:type="spellStart"/>
      <w:proofErr w:type="gramStart"/>
      <w:r w:rsidRPr="0050212E">
        <w:rPr>
          <w:rFonts w:ascii="Roboto" w:eastAsia="Times New Roman" w:hAnsi="Roboto" w:cs="Times New Roman"/>
          <w:color w:val="000000"/>
          <w:sz w:val="21"/>
          <w:szCs w:val="21"/>
          <w:lang w:eastAsia="en-GB"/>
        </w:rPr>
        <w:t>L.;Barbon</w:t>
      </w:r>
      <w:proofErr w:type="spellEnd"/>
      <w:proofErr w:type="gramEnd"/>
      <w:r w:rsidRPr="0050212E">
        <w:rPr>
          <w:rFonts w:ascii="Roboto" w:eastAsia="Times New Roman" w:hAnsi="Roboto" w:cs="Times New Roman"/>
          <w:color w:val="000000"/>
          <w:sz w:val="21"/>
          <w:szCs w:val="21"/>
          <w:lang w:eastAsia="en-GB"/>
        </w:rPr>
        <w:t xml:space="preserve">, Carly E. </w:t>
      </w:r>
      <w:proofErr w:type="spellStart"/>
      <w:proofErr w:type="gramStart"/>
      <w:r w:rsidRPr="0050212E">
        <w:rPr>
          <w:rFonts w:ascii="Roboto" w:eastAsia="Times New Roman" w:hAnsi="Roboto" w:cs="Times New Roman"/>
          <w:color w:val="000000"/>
          <w:sz w:val="21"/>
          <w:szCs w:val="21"/>
          <w:lang w:eastAsia="en-GB"/>
        </w:rPr>
        <w:t>A.;Tang</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Xiaohui;Sahli</w:t>
      </w:r>
      <w:proofErr w:type="spellEnd"/>
      <w:proofErr w:type="gramEnd"/>
      <w:r w:rsidRPr="0050212E">
        <w:rPr>
          <w:rFonts w:ascii="Roboto" w:eastAsia="Times New Roman" w:hAnsi="Roboto" w:cs="Times New Roman"/>
          <w:color w:val="000000"/>
          <w:sz w:val="21"/>
          <w:szCs w:val="21"/>
          <w:lang w:eastAsia="en-GB"/>
        </w:rPr>
        <w:t xml:space="preserve">, Ariana </w:t>
      </w:r>
      <w:proofErr w:type="spellStart"/>
      <w:proofErr w:type="gramStart"/>
      <w:r w:rsidRPr="0050212E">
        <w:rPr>
          <w:rFonts w:ascii="Roboto" w:eastAsia="Times New Roman" w:hAnsi="Roboto" w:cs="Times New Roman"/>
          <w:color w:val="000000"/>
          <w:sz w:val="21"/>
          <w:szCs w:val="21"/>
          <w:lang w:eastAsia="en-GB"/>
        </w:rPr>
        <w:t>J.;Buoy</w:t>
      </w:r>
      <w:proofErr w:type="spellEnd"/>
      <w:proofErr w:type="gramEnd"/>
      <w:r w:rsidRPr="0050212E">
        <w:rPr>
          <w:rFonts w:ascii="Roboto" w:eastAsia="Times New Roman" w:hAnsi="Roboto" w:cs="Times New Roman"/>
          <w:color w:val="000000"/>
          <w:sz w:val="21"/>
          <w:szCs w:val="21"/>
          <w:lang w:eastAsia="en-GB"/>
        </w:rPr>
        <w:t>, Sheila N. and Hutcheson, Katherine 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Dysphagia</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 xml:space="preserve">Dysphagia is common across cancer populations, yet it remains poorly characterized outside of head and neck (HN) cancer. Defining swallowing profiles in diverse cancer groups is essential to guide targeted supportive care and rehabilitation. We </w:t>
      </w:r>
      <w:proofErr w:type="spellStart"/>
      <w:r w:rsidRPr="0050212E">
        <w:rPr>
          <w:rFonts w:ascii="Roboto" w:eastAsia="Times New Roman" w:hAnsi="Roboto" w:cs="Times New Roman"/>
          <w:color w:val="000000"/>
          <w:sz w:val="21"/>
          <w:szCs w:val="21"/>
          <w:lang w:eastAsia="en-GB"/>
        </w:rPr>
        <w:t>analyzed</w:t>
      </w:r>
      <w:proofErr w:type="spellEnd"/>
      <w:r w:rsidRPr="0050212E">
        <w:rPr>
          <w:rFonts w:ascii="Roboto" w:eastAsia="Times New Roman" w:hAnsi="Roboto" w:cs="Times New Roman"/>
          <w:color w:val="000000"/>
          <w:sz w:val="21"/>
          <w:szCs w:val="21"/>
          <w:lang w:eastAsia="en-GB"/>
        </w:rPr>
        <w:t xml:space="preserve"> 10,677 MBSs from 6,423 adult cancer patients referred for dysphagia assessment (2016-2021) across 12 cancer diagnoses, at a designated comprehensive cancer </w:t>
      </w:r>
      <w:proofErr w:type="spellStart"/>
      <w:r w:rsidRPr="0050212E">
        <w:rPr>
          <w:rFonts w:ascii="Roboto" w:eastAsia="Times New Roman" w:hAnsi="Roboto" w:cs="Times New Roman"/>
          <w:color w:val="000000"/>
          <w:sz w:val="21"/>
          <w:szCs w:val="21"/>
          <w:lang w:eastAsia="en-GB"/>
        </w:rPr>
        <w:t>center</w:t>
      </w:r>
      <w:proofErr w:type="spellEnd"/>
      <w:r w:rsidRPr="0050212E">
        <w:rPr>
          <w:rFonts w:ascii="Roboto" w:eastAsia="Times New Roman" w:hAnsi="Roboto" w:cs="Times New Roman"/>
          <w:color w:val="000000"/>
          <w:sz w:val="21"/>
          <w:szCs w:val="21"/>
          <w:lang w:eastAsia="en-GB"/>
        </w:rPr>
        <w:t xml:space="preserve">. Swallowing safety and efficiency were graded using the DIGEST scale. Multivariable mixed-effects ordinal logistic regression assessed differences in DIGEST impairment (&gt;= 1) across diagnoses. In a subset of 704 studies, physiologic impairments were examined with the </w:t>
      </w:r>
      <w:proofErr w:type="spellStart"/>
      <w:r w:rsidRPr="0050212E">
        <w:rPr>
          <w:rFonts w:ascii="Roboto" w:eastAsia="Times New Roman" w:hAnsi="Roboto" w:cs="Times New Roman"/>
          <w:color w:val="000000"/>
          <w:sz w:val="21"/>
          <w:szCs w:val="21"/>
          <w:lang w:eastAsia="en-GB"/>
        </w:rPr>
        <w:t>MBSImP</w:t>
      </w:r>
      <w:proofErr w:type="spellEnd"/>
      <w:r w:rsidRPr="0050212E">
        <w:rPr>
          <w:rFonts w:ascii="Roboto" w:eastAsia="Times New Roman" w:hAnsi="Roboto" w:cs="Times New Roman"/>
          <w:color w:val="000000"/>
          <w:sz w:val="21"/>
          <w:szCs w:val="21"/>
          <w:lang w:eastAsia="en-GB"/>
        </w:rPr>
        <w:t xml:space="preserve"> and correlated with DIGEST outcomes. Dysphagia frequency varied significantly across cancer types for overall, safety, and efficiency domains (all p = 1) was most frequent in patients with multiple cancers including HN (71%) and gastrointestinal (64%) and lowest in breast and endocrine/thyroid cancers. Safety impairments were highest in patients with multiple cancers including HN (59%), gastrointestinal (52%), and CNS (51%), while efficiency deficits predominated in patients with multiple cancers including HN (54%), HN alone (46%), CNS and multiple non-HN cancers (both 44%). Pharyngeal swallow initiation, anterior hyoid excursion, and laryngeal vestibular closure were the most frequently impaired physiologic components. Correlations between </w:t>
      </w:r>
      <w:proofErr w:type="spellStart"/>
      <w:r w:rsidRPr="0050212E">
        <w:rPr>
          <w:rFonts w:ascii="Roboto" w:eastAsia="Times New Roman" w:hAnsi="Roboto" w:cs="Times New Roman"/>
          <w:color w:val="000000"/>
          <w:sz w:val="21"/>
          <w:szCs w:val="21"/>
          <w:lang w:eastAsia="en-GB"/>
        </w:rPr>
        <w:t>MBSImP</w:t>
      </w:r>
      <w:proofErr w:type="spellEnd"/>
      <w:r w:rsidRPr="0050212E">
        <w:rPr>
          <w:rFonts w:ascii="Roboto" w:eastAsia="Times New Roman" w:hAnsi="Roboto" w:cs="Times New Roman"/>
          <w:color w:val="000000"/>
          <w:sz w:val="21"/>
          <w:szCs w:val="21"/>
          <w:lang w:eastAsia="en-GB"/>
        </w:rPr>
        <w:t xml:space="preserve"> and DIGEST varied across cancer types. Swallowing impairment profiles differ substantially by cancer type, and link to distinct </w:t>
      </w:r>
      <w:r w:rsidRPr="0050212E">
        <w:rPr>
          <w:rFonts w:ascii="Roboto" w:eastAsia="Times New Roman" w:hAnsi="Roboto" w:cs="Times New Roman"/>
          <w:color w:val="000000"/>
          <w:sz w:val="21"/>
          <w:szCs w:val="21"/>
          <w:lang w:eastAsia="en-GB"/>
        </w:rPr>
        <w:lastRenderedPageBreak/>
        <w:t>physiologic targets. These findings support developing cancer-specific dysphagia pathways and integrating physiologic and functional metrics to optimize rehabilitation.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1" w:tgtFrame="_blank" w:history="1">
        <w:r w:rsidRPr="0050212E">
          <w:rPr>
            <w:rFonts w:ascii="Roboto" w:eastAsia="Times New Roman" w:hAnsi="Roboto" w:cs="Times New Roman"/>
            <w:color w:val="0066CC"/>
            <w:sz w:val="21"/>
            <w:szCs w:val="21"/>
            <w:lang w:eastAsia="en-GB"/>
          </w:rPr>
          <w:t>https://libkey.io/10.1007/s00455-026-10965-0</w:t>
        </w:r>
      </w:hyperlink>
    </w:p>
    <w:p w14:paraId="75830C2E" w14:textId="290A078B"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12. </w:t>
      </w:r>
      <w:r w:rsidRPr="0050212E">
        <w:rPr>
          <w:rFonts w:ascii="Roboto" w:eastAsia="Times New Roman" w:hAnsi="Roboto" w:cs="Times New Roman"/>
          <w:b/>
          <w:bCs/>
          <w:color w:val="000000"/>
          <w:sz w:val="21"/>
          <w:szCs w:val="21"/>
          <w:lang w:eastAsia="en-GB"/>
        </w:rPr>
        <w:t>Exploring the Effects of Frailty and Sarcopenia on Dysphagia in Head and Neck Cancer: A Scoping Review.</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Perera, </w:t>
      </w:r>
      <w:proofErr w:type="spellStart"/>
      <w:proofErr w:type="gramStart"/>
      <w:r w:rsidRPr="0050212E">
        <w:rPr>
          <w:rFonts w:ascii="Roboto" w:eastAsia="Times New Roman" w:hAnsi="Roboto" w:cs="Times New Roman"/>
          <w:color w:val="000000"/>
          <w:sz w:val="21"/>
          <w:szCs w:val="21"/>
          <w:lang w:eastAsia="en-GB"/>
        </w:rPr>
        <w:t>Rishni;Ward</w:t>
      </w:r>
      <w:proofErr w:type="spellEnd"/>
      <w:proofErr w:type="gramEnd"/>
      <w:r w:rsidRPr="0050212E">
        <w:rPr>
          <w:rFonts w:ascii="Roboto" w:eastAsia="Times New Roman" w:hAnsi="Roboto" w:cs="Times New Roman"/>
          <w:color w:val="000000"/>
          <w:sz w:val="21"/>
          <w:szCs w:val="21"/>
          <w:lang w:eastAsia="en-GB"/>
        </w:rPr>
        <w:t xml:space="preserve">, Elizabeth </w:t>
      </w:r>
      <w:proofErr w:type="spellStart"/>
      <w:proofErr w:type="gramStart"/>
      <w:r w:rsidRPr="0050212E">
        <w:rPr>
          <w:rFonts w:ascii="Roboto" w:eastAsia="Times New Roman" w:hAnsi="Roboto" w:cs="Times New Roman"/>
          <w:color w:val="000000"/>
          <w:sz w:val="21"/>
          <w:szCs w:val="21"/>
          <w:lang w:eastAsia="en-GB"/>
        </w:rPr>
        <w:t>C.;O'Donnell</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Nicole;Yates</w:t>
      </w:r>
      <w:proofErr w:type="spellEnd"/>
      <w:proofErr w:type="gramEnd"/>
      <w:r w:rsidRPr="0050212E">
        <w:rPr>
          <w:rFonts w:ascii="Roboto" w:eastAsia="Times New Roman" w:hAnsi="Roboto" w:cs="Times New Roman"/>
          <w:color w:val="000000"/>
          <w:sz w:val="21"/>
          <w:szCs w:val="21"/>
          <w:lang w:eastAsia="en-GB"/>
        </w:rPr>
        <w:t>, Paul and Packer, Rebecca L.</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Head &amp; Neck</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Frailty and sarcopenia may influence head and neck cancer (HNC) treatment outcomes, including dysphagia. Current understanding of this relationship, however, remains limited. This scoping review aimed to synthesize existing evidence on the relationship between frailty and/or sarcopenia and dysphagia in adults with HNC.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A scoping review of PubMed, MEDLINE, EMBASE, and CINAHL was conducted for original research published to December 2025. Eligible studies included adults (18+ years), diagnosed with HNC, examining frailty or sarcopenia and dysphagia.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Of 5462 studies screened, 16 were included. Five examined frailty and dysphagia, and 11 examined sarcopenia and dysphagia. Most studies reported a positive association with dysphagia. Considerable heterogeneity was observed across study aims, participant demographics, and nature and timing of assessment of frailty, sarcopenia, and dysphagia.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Emerging evidence suggests frailty and sarcopenia are important risk factors for dysphagia in HNC. Further systematic research is needed to inform prognostic and management decisions.</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2" w:tgtFrame="_blank" w:history="1">
        <w:r w:rsidRPr="0050212E">
          <w:rPr>
            <w:rFonts w:ascii="Roboto" w:eastAsia="Times New Roman" w:hAnsi="Roboto" w:cs="Times New Roman"/>
            <w:color w:val="0066CC"/>
            <w:sz w:val="21"/>
            <w:szCs w:val="21"/>
            <w:lang w:eastAsia="en-GB"/>
          </w:rPr>
          <w:t>https://libkey.io/10.1002/hed.70379</w:t>
        </w:r>
      </w:hyperlink>
    </w:p>
    <w:p w14:paraId="3F772D5C" w14:textId="230F8A5A"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13. </w:t>
      </w:r>
      <w:r w:rsidRPr="0050212E">
        <w:rPr>
          <w:rFonts w:ascii="Roboto" w:eastAsia="Times New Roman" w:hAnsi="Roboto" w:cs="Times New Roman"/>
          <w:b/>
          <w:bCs/>
          <w:color w:val="000000"/>
          <w:sz w:val="21"/>
          <w:szCs w:val="21"/>
          <w:lang w:eastAsia="en-GB"/>
        </w:rPr>
        <w:t>How is dysphagia conceptualised, assessed, and managed with populations who are culturally diverse: A scoping review</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Perri, </w:t>
      </w:r>
      <w:proofErr w:type="spellStart"/>
      <w:proofErr w:type="gramStart"/>
      <w:r w:rsidRPr="0050212E">
        <w:rPr>
          <w:rFonts w:ascii="Roboto" w:eastAsia="Times New Roman" w:hAnsi="Roboto" w:cs="Times New Roman"/>
          <w:color w:val="000000"/>
          <w:sz w:val="21"/>
          <w:szCs w:val="21"/>
          <w:lang w:eastAsia="en-GB"/>
        </w:rPr>
        <w:t>Rosalinda;Khasa</w:t>
      </w:r>
      <w:proofErr w:type="spellEnd"/>
      <w:proofErr w:type="gramEnd"/>
      <w:r w:rsidRPr="0050212E">
        <w:rPr>
          <w:rFonts w:ascii="Roboto" w:eastAsia="Times New Roman" w:hAnsi="Roboto" w:cs="Times New Roman"/>
          <w:color w:val="000000"/>
          <w:sz w:val="21"/>
          <w:szCs w:val="21"/>
          <w:lang w:eastAsia="en-GB"/>
        </w:rPr>
        <w:t>, Dipanshi and Attrill, Stacie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Jun 02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 xml:space="preserve">International Journal of </w:t>
      </w:r>
      <w:proofErr w:type="spellStart"/>
      <w:r w:rsidRPr="0050212E">
        <w:rPr>
          <w:rFonts w:ascii="Roboto" w:eastAsia="Times New Roman" w:hAnsi="Roboto" w:cs="Times New Roman"/>
          <w:color w:val="000000"/>
          <w:sz w:val="21"/>
          <w:szCs w:val="21"/>
          <w:lang w:eastAsia="en-GB"/>
        </w:rPr>
        <w:t>Speechlanguage</w:t>
      </w:r>
      <w:proofErr w:type="spellEnd"/>
      <w:r w:rsidRPr="0050212E">
        <w:rPr>
          <w:rFonts w:ascii="Roboto" w:eastAsia="Times New Roman" w:hAnsi="Roboto" w:cs="Times New Roman"/>
          <w:color w:val="000000"/>
          <w:sz w:val="21"/>
          <w:szCs w:val="21"/>
          <w:lang w:eastAsia="en-GB"/>
        </w:rPr>
        <w:t xml:space="preserve"> Pathology 1-17</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INTRODUCTION</w:t>
      </w:r>
      <w:r w:rsidRPr="0050212E">
        <w:rPr>
          <w:rFonts w:ascii="Roboto" w:eastAsia="Times New Roman" w:hAnsi="Roboto" w:cs="Times New Roman"/>
          <w:color w:val="000000"/>
          <w:sz w:val="21"/>
          <w:szCs w:val="21"/>
          <w:lang w:eastAsia="en-GB"/>
        </w:rPr>
        <w:t>: Research demonstrates health disparities for culturally diverse populations who are minority groups within dominant cultural populations. Speech-language pathology practices for dysphagia are often derived from evidence drawn from Western contexts, but there is a need for culturally responsive practices to ensure optimal outcomes. In this scoping review we aimed to explore research on swallowing assessment and management for individuals with dysphagia who are culturally diverse, including how this is understood, the nature of practice, and what gaps exist. </w:t>
      </w:r>
      <w:r w:rsidRPr="0050212E">
        <w:rPr>
          <w:rFonts w:ascii="Roboto" w:eastAsia="Times New Roman" w:hAnsi="Roboto" w:cs="Times New Roman"/>
          <w:b/>
          <w:bCs/>
          <w:color w:val="000000"/>
          <w:sz w:val="21"/>
          <w:szCs w:val="21"/>
          <w:lang w:eastAsia="en-GB"/>
        </w:rPr>
        <w:t>METHOD</w:t>
      </w:r>
      <w:r w:rsidRPr="0050212E">
        <w:rPr>
          <w:rFonts w:ascii="Roboto" w:eastAsia="Times New Roman" w:hAnsi="Roboto" w:cs="Times New Roman"/>
          <w:color w:val="000000"/>
          <w:sz w:val="21"/>
          <w:szCs w:val="21"/>
          <w:lang w:eastAsia="en-GB"/>
        </w:rPr>
        <w:t>: This scoping review followed Arksey and O'Malley's guidelines. A comprehensive search for published and grey literature was conducted across seven databases by two independent reviewers. </w:t>
      </w:r>
      <w:r w:rsidRPr="0050212E">
        <w:rPr>
          <w:rFonts w:ascii="Roboto" w:eastAsia="Times New Roman" w:hAnsi="Roboto" w:cs="Times New Roman"/>
          <w:b/>
          <w:bCs/>
          <w:color w:val="000000"/>
          <w:sz w:val="21"/>
          <w:szCs w:val="21"/>
          <w:lang w:eastAsia="en-GB"/>
        </w:rPr>
        <w:t>RESULT</w:t>
      </w:r>
      <w:r w:rsidRPr="0050212E">
        <w:rPr>
          <w:rFonts w:ascii="Roboto" w:eastAsia="Times New Roman" w:hAnsi="Roboto" w:cs="Times New Roman"/>
          <w:color w:val="000000"/>
          <w:sz w:val="21"/>
          <w:szCs w:val="21"/>
          <w:lang w:eastAsia="en-GB"/>
        </w:rPr>
        <w:t xml:space="preserve">: The majority of the 57 included papers were studies translating swallowing assessment tools for a different language group. Literature pertaining to assessment and management of dysphagia identified potential impacts of dysphagia on cultural food and mealtime practices, and culturally responsive speech-language pathology practice. Personalised approaches, including ethnographic interviewing, shared decision-making, and backward design that enable co-constructed, </w:t>
      </w:r>
      <w:proofErr w:type="gramStart"/>
      <w:r w:rsidRPr="0050212E">
        <w:rPr>
          <w:rFonts w:ascii="Roboto" w:eastAsia="Times New Roman" w:hAnsi="Roboto" w:cs="Times New Roman"/>
          <w:color w:val="000000"/>
          <w:sz w:val="21"/>
          <w:szCs w:val="21"/>
          <w:lang w:eastAsia="en-GB"/>
        </w:rPr>
        <w:t>culturally-informed</w:t>
      </w:r>
      <w:proofErr w:type="gramEnd"/>
      <w:r w:rsidRPr="0050212E">
        <w:rPr>
          <w:rFonts w:ascii="Roboto" w:eastAsia="Times New Roman" w:hAnsi="Roboto" w:cs="Times New Roman"/>
          <w:color w:val="000000"/>
          <w:sz w:val="21"/>
          <w:szCs w:val="21"/>
          <w:lang w:eastAsia="en-GB"/>
        </w:rPr>
        <w:t xml:space="preserve"> dysphagia </w:t>
      </w:r>
      <w:r w:rsidRPr="0050212E">
        <w:rPr>
          <w:rFonts w:ascii="Roboto" w:eastAsia="Times New Roman" w:hAnsi="Roboto" w:cs="Times New Roman"/>
          <w:color w:val="000000"/>
          <w:sz w:val="21"/>
          <w:szCs w:val="21"/>
          <w:lang w:eastAsia="en-GB"/>
        </w:rPr>
        <w:lastRenderedPageBreak/>
        <w:t>practice were situated as enhancing speech-language pathologists' capacity to demonstrate culturally responsive approaches. </w:t>
      </w:r>
      <w:r w:rsidRPr="0050212E">
        <w:rPr>
          <w:rFonts w:ascii="Roboto" w:eastAsia="Times New Roman" w:hAnsi="Roboto" w:cs="Times New Roman"/>
          <w:b/>
          <w:bCs/>
          <w:color w:val="000000"/>
          <w:sz w:val="21"/>
          <w:szCs w:val="21"/>
          <w:lang w:eastAsia="en-GB"/>
        </w:rPr>
        <w:t>CONCLUSION</w:t>
      </w:r>
      <w:r w:rsidRPr="0050212E">
        <w:rPr>
          <w:rFonts w:ascii="Roboto" w:eastAsia="Times New Roman" w:hAnsi="Roboto" w:cs="Times New Roman"/>
          <w:color w:val="000000"/>
          <w:sz w:val="21"/>
          <w:szCs w:val="21"/>
          <w:lang w:eastAsia="en-GB"/>
        </w:rPr>
        <w:t>: This scoping review highlights that how speech-language pathology practice is constructed to respond to populations with dysphagia who are culturally diverse is under-explored.</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3" w:tgtFrame="_blank" w:history="1">
        <w:r w:rsidRPr="0050212E">
          <w:rPr>
            <w:rFonts w:ascii="Roboto" w:eastAsia="Times New Roman" w:hAnsi="Roboto" w:cs="Times New Roman"/>
            <w:color w:val="0066CC"/>
            <w:sz w:val="21"/>
            <w:szCs w:val="21"/>
            <w:lang w:eastAsia="en-GB"/>
          </w:rPr>
          <w:t>https://libkey.io/10.1080/17549507.2026.2663896</w:t>
        </w:r>
      </w:hyperlink>
    </w:p>
    <w:p w14:paraId="5A13FB83" w14:textId="44D7BA36"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14. </w:t>
      </w:r>
      <w:r w:rsidRPr="0050212E">
        <w:rPr>
          <w:rFonts w:ascii="Roboto" w:eastAsia="Times New Roman" w:hAnsi="Roboto" w:cs="Times New Roman"/>
          <w:b/>
          <w:bCs/>
          <w:color w:val="000000"/>
          <w:sz w:val="21"/>
          <w:szCs w:val="21"/>
          <w:lang w:eastAsia="en-GB"/>
        </w:rPr>
        <w:t xml:space="preserve">Dysphagia Management in Individuals </w:t>
      </w:r>
      <w:proofErr w:type="gramStart"/>
      <w:r w:rsidRPr="0050212E">
        <w:rPr>
          <w:rFonts w:ascii="Roboto" w:eastAsia="Times New Roman" w:hAnsi="Roboto" w:cs="Times New Roman"/>
          <w:b/>
          <w:bCs/>
          <w:color w:val="000000"/>
          <w:sz w:val="21"/>
          <w:szCs w:val="21"/>
          <w:lang w:eastAsia="en-GB"/>
        </w:rPr>
        <w:t>With</w:t>
      </w:r>
      <w:proofErr w:type="gramEnd"/>
      <w:r w:rsidRPr="0050212E">
        <w:rPr>
          <w:rFonts w:ascii="Roboto" w:eastAsia="Times New Roman" w:hAnsi="Roboto" w:cs="Times New Roman"/>
          <w:b/>
          <w:bCs/>
          <w:color w:val="000000"/>
          <w:sz w:val="21"/>
          <w:szCs w:val="21"/>
          <w:lang w:eastAsia="en-GB"/>
        </w:rPr>
        <w:t xml:space="preserve"> Parkinson Disease and Cognitive Dysfunction: A Scoping Review</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Rangwala, </w:t>
      </w:r>
      <w:proofErr w:type="spellStart"/>
      <w:proofErr w:type="gramStart"/>
      <w:r w:rsidRPr="0050212E">
        <w:rPr>
          <w:rFonts w:ascii="Roboto" w:eastAsia="Times New Roman" w:hAnsi="Roboto" w:cs="Times New Roman"/>
          <w:color w:val="000000"/>
          <w:sz w:val="21"/>
          <w:szCs w:val="21"/>
          <w:lang w:eastAsia="en-GB"/>
        </w:rPr>
        <w:t>Rabab;Lee</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Godfrey;Benge</w:t>
      </w:r>
      <w:proofErr w:type="spellEnd"/>
      <w:proofErr w:type="gramEnd"/>
      <w:r w:rsidRPr="0050212E">
        <w:rPr>
          <w:rFonts w:ascii="Roboto" w:eastAsia="Times New Roman" w:hAnsi="Roboto" w:cs="Times New Roman"/>
          <w:color w:val="000000"/>
          <w:sz w:val="21"/>
          <w:szCs w:val="21"/>
          <w:lang w:eastAsia="en-GB"/>
        </w:rPr>
        <w:t>, Jared F. and Jones, Corinne 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Archives of Physical Medicine &amp; Rehabilitation</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OBJECTIVE</w:t>
      </w:r>
      <w:r w:rsidRPr="0050212E">
        <w:rPr>
          <w:rFonts w:ascii="Roboto" w:eastAsia="Times New Roman" w:hAnsi="Roboto" w:cs="Times New Roman"/>
          <w:color w:val="000000"/>
          <w:sz w:val="21"/>
          <w:szCs w:val="21"/>
          <w:lang w:eastAsia="en-GB"/>
        </w:rPr>
        <w:t>: To examine dysphagia management options for individuals with Parkinson's disease (PD), with attention to the inclusion of individuals with co-occurring cognitive dysfunction across all levels of severity. </w:t>
      </w:r>
      <w:r w:rsidRPr="0050212E">
        <w:rPr>
          <w:rFonts w:ascii="Roboto" w:eastAsia="Times New Roman" w:hAnsi="Roboto" w:cs="Times New Roman"/>
          <w:b/>
          <w:bCs/>
          <w:color w:val="000000"/>
          <w:sz w:val="21"/>
          <w:szCs w:val="21"/>
          <w:lang w:eastAsia="en-GB"/>
        </w:rPr>
        <w:t>DATA SOURCES</w:t>
      </w:r>
      <w:r w:rsidRPr="0050212E">
        <w:rPr>
          <w:rFonts w:ascii="Roboto" w:eastAsia="Times New Roman" w:hAnsi="Roboto" w:cs="Times New Roman"/>
          <w:color w:val="000000"/>
          <w:sz w:val="21"/>
          <w:szCs w:val="21"/>
          <w:lang w:eastAsia="en-GB"/>
        </w:rPr>
        <w:t>: This scoping review was completed using Preferred Reporting Items for Systematic Reviews and Meta-Analyses - Scoping Review guidelines. A comprehensive search across 7 databases (PubMed, CINAHL, Web of Science, Cochrane Database of Systematic Reviews, ClinicalTrials.gov, Scopus, and Embase) was conducted using predefined search terms. </w:t>
      </w:r>
      <w:r w:rsidRPr="0050212E">
        <w:rPr>
          <w:rFonts w:ascii="Roboto" w:eastAsia="Times New Roman" w:hAnsi="Roboto" w:cs="Times New Roman"/>
          <w:b/>
          <w:bCs/>
          <w:color w:val="000000"/>
          <w:sz w:val="21"/>
          <w:szCs w:val="21"/>
          <w:lang w:eastAsia="en-GB"/>
        </w:rPr>
        <w:t>STUDY SELECTION</w:t>
      </w:r>
      <w:r w:rsidRPr="0050212E">
        <w:rPr>
          <w:rFonts w:ascii="Roboto" w:eastAsia="Times New Roman" w:hAnsi="Roboto" w:cs="Times New Roman"/>
          <w:color w:val="000000"/>
          <w:sz w:val="21"/>
          <w:szCs w:val="21"/>
          <w:lang w:eastAsia="en-GB"/>
        </w:rPr>
        <w:t xml:space="preserve">: The inclusion criteria focused on studies addressing dysphagia management in PD, including </w:t>
      </w:r>
      <w:proofErr w:type="spellStart"/>
      <w:r w:rsidRPr="0050212E">
        <w:rPr>
          <w:rFonts w:ascii="Roboto" w:eastAsia="Times New Roman" w:hAnsi="Roboto" w:cs="Times New Roman"/>
          <w:color w:val="000000"/>
          <w:sz w:val="21"/>
          <w:szCs w:val="21"/>
          <w:lang w:eastAsia="en-GB"/>
        </w:rPr>
        <w:t>behavioral</w:t>
      </w:r>
      <w:proofErr w:type="spellEnd"/>
      <w:r w:rsidRPr="0050212E">
        <w:rPr>
          <w:rFonts w:ascii="Roboto" w:eastAsia="Times New Roman" w:hAnsi="Roboto" w:cs="Times New Roman"/>
          <w:color w:val="000000"/>
          <w:sz w:val="21"/>
          <w:szCs w:val="21"/>
          <w:lang w:eastAsia="en-GB"/>
        </w:rPr>
        <w:t xml:space="preserve"> interventions, medical and surgical treatments, and stimulation interventions. Observational studies that did not include individuals with PD or dysphagia interventions were excluded. </w:t>
      </w:r>
      <w:r w:rsidRPr="0050212E">
        <w:rPr>
          <w:rFonts w:ascii="Roboto" w:eastAsia="Times New Roman" w:hAnsi="Roboto" w:cs="Times New Roman"/>
          <w:b/>
          <w:bCs/>
          <w:color w:val="000000"/>
          <w:sz w:val="21"/>
          <w:szCs w:val="21"/>
          <w:lang w:eastAsia="en-GB"/>
        </w:rPr>
        <w:t>DATA EXTRACTION</w:t>
      </w:r>
      <w:r w:rsidRPr="0050212E">
        <w:rPr>
          <w:rFonts w:ascii="Roboto" w:eastAsia="Times New Roman" w:hAnsi="Roboto" w:cs="Times New Roman"/>
          <w:color w:val="000000"/>
          <w:sz w:val="21"/>
          <w:szCs w:val="21"/>
          <w:lang w:eastAsia="en-GB"/>
        </w:rPr>
        <w:t>: The data extraction template compiled study details, sample characteristics, dysphagia interventions, and cognitive-based exclusion criteria. </w:t>
      </w:r>
      <w:r w:rsidRPr="0050212E">
        <w:rPr>
          <w:rFonts w:ascii="Roboto" w:eastAsia="Times New Roman" w:hAnsi="Roboto" w:cs="Times New Roman"/>
          <w:b/>
          <w:bCs/>
          <w:color w:val="000000"/>
          <w:sz w:val="21"/>
          <w:szCs w:val="21"/>
          <w:lang w:eastAsia="en-GB"/>
        </w:rPr>
        <w:t>DATA SYNTHESIS</w:t>
      </w:r>
      <w:r w:rsidRPr="0050212E">
        <w:rPr>
          <w:rFonts w:ascii="Roboto" w:eastAsia="Times New Roman" w:hAnsi="Roboto" w:cs="Times New Roman"/>
          <w:color w:val="000000"/>
          <w:sz w:val="21"/>
          <w:szCs w:val="21"/>
          <w:lang w:eastAsia="en-GB"/>
        </w:rPr>
        <w:t xml:space="preserve">: Of 13,614 identified studies, 48 were included in the final analysis, addressing interventions for dysphagia management in PD. Among these 4 studies did not exclude individuals with cognitive dysfunction, of which 3 were case studies with a single participant. Of 25 </w:t>
      </w:r>
      <w:proofErr w:type="spellStart"/>
      <w:r w:rsidRPr="0050212E">
        <w:rPr>
          <w:rFonts w:ascii="Roboto" w:eastAsia="Times New Roman" w:hAnsi="Roboto" w:cs="Times New Roman"/>
          <w:color w:val="000000"/>
          <w:sz w:val="21"/>
          <w:szCs w:val="21"/>
          <w:lang w:eastAsia="en-GB"/>
        </w:rPr>
        <w:t>behavioral</w:t>
      </w:r>
      <w:proofErr w:type="spellEnd"/>
      <w:r w:rsidRPr="0050212E">
        <w:rPr>
          <w:rFonts w:ascii="Roboto" w:eastAsia="Times New Roman" w:hAnsi="Roboto" w:cs="Times New Roman"/>
          <w:color w:val="000000"/>
          <w:sz w:val="21"/>
          <w:szCs w:val="21"/>
          <w:lang w:eastAsia="en-GB"/>
        </w:rPr>
        <w:t xml:space="preserve"> intervention studies included, 17 explicitly excluded individuals based on their cognitive abilities, whereas 5 did not report cognitive criteria. Among 9 surgical and medical intervention studies, 6 excluded participants because of cognitive functioning, and 3 did not provide information regarding cognitive status. Similarly, of 14 stimulation-based intervention studies, 5 excluded individuals with cognitive impairment, and 8 did not report cognitive-related criteria.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xml:space="preserve">: There </w:t>
      </w:r>
      <w:proofErr w:type="gramStart"/>
      <w:r w:rsidRPr="0050212E">
        <w:rPr>
          <w:rFonts w:ascii="Roboto" w:eastAsia="Times New Roman" w:hAnsi="Roboto" w:cs="Times New Roman"/>
          <w:color w:val="000000"/>
          <w:sz w:val="21"/>
          <w:szCs w:val="21"/>
          <w:lang w:eastAsia="en-GB"/>
        </w:rPr>
        <w:t>is</w:t>
      </w:r>
      <w:proofErr w:type="gramEnd"/>
      <w:r w:rsidRPr="0050212E">
        <w:rPr>
          <w:rFonts w:ascii="Roboto" w:eastAsia="Times New Roman" w:hAnsi="Roboto" w:cs="Times New Roman"/>
          <w:color w:val="000000"/>
          <w:sz w:val="21"/>
          <w:szCs w:val="21"/>
          <w:lang w:eastAsia="en-GB"/>
        </w:rPr>
        <w:t xml:space="preserve"> limited information available guiding clinicians in the management of dysphagia in patients with both PD and cognitive dysfunction. This review aims to guide future research by highlighting the need for development of evidence-based dysphagia rehabilitation protocols for individuals with PD and with cognitive impairments.</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4" w:tgtFrame="_blank" w:history="1">
        <w:r w:rsidRPr="0050212E">
          <w:rPr>
            <w:rFonts w:ascii="Roboto" w:eastAsia="Times New Roman" w:hAnsi="Roboto" w:cs="Times New Roman"/>
            <w:color w:val="0066CC"/>
            <w:sz w:val="21"/>
            <w:szCs w:val="21"/>
            <w:lang w:eastAsia="en-GB"/>
          </w:rPr>
          <w:t>https://libkey.io/10.1016/j.apmr.2026.03.012</w:t>
        </w:r>
      </w:hyperlink>
    </w:p>
    <w:p w14:paraId="4BA4A94E" w14:textId="7A8097D7"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15. </w:t>
      </w:r>
      <w:r w:rsidRPr="0050212E">
        <w:rPr>
          <w:rFonts w:ascii="Roboto" w:eastAsia="Times New Roman" w:hAnsi="Roboto" w:cs="Times New Roman"/>
          <w:b/>
          <w:bCs/>
          <w:color w:val="000000"/>
          <w:sz w:val="21"/>
          <w:szCs w:val="21"/>
          <w:lang w:eastAsia="en-GB"/>
        </w:rPr>
        <w:t xml:space="preserve">Treatment With the Shaker Head-Lift Exercise in Head and Neck Cancer Patients </w:t>
      </w:r>
      <w:proofErr w:type="gramStart"/>
      <w:r w:rsidRPr="0050212E">
        <w:rPr>
          <w:rFonts w:ascii="Roboto" w:eastAsia="Times New Roman" w:hAnsi="Roboto" w:cs="Times New Roman"/>
          <w:b/>
          <w:bCs/>
          <w:color w:val="000000"/>
          <w:sz w:val="21"/>
          <w:szCs w:val="21"/>
          <w:lang w:eastAsia="en-GB"/>
        </w:rPr>
        <w:t>With</w:t>
      </w:r>
      <w:proofErr w:type="gramEnd"/>
      <w:r w:rsidRPr="0050212E">
        <w:rPr>
          <w:rFonts w:ascii="Roboto" w:eastAsia="Times New Roman" w:hAnsi="Roboto" w:cs="Times New Roman"/>
          <w:b/>
          <w:bCs/>
          <w:color w:val="000000"/>
          <w:sz w:val="21"/>
          <w:szCs w:val="21"/>
          <w:lang w:eastAsia="en-GB"/>
        </w:rPr>
        <w:t xml:space="preserve"> Radiation-Induced Dysphagia: 12-Month Results on Swallowing Function </w:t>
      </w:r>
      <w:proofErr w:type="gramStart"/>
      <w:r w:rsidRPr="0050212E">
        <w:rPr>
          <w:rFonts w:ascii="Roboto" w:eastAsia="Times New Roman" w:hAnsi="Roboto" w:cs="Times New Roman"/>
          <w:b/>
          <w:bCs/>
          <w:color w:val="000000"/>
          <w:sz w:val="21"/>
          <w:szCs w:val="21"/>
          <w:lang w:eastAsia="en-GB"/>
        </w:rPr>
        <w:t>From</w:t>
      </w:r>
      <w:proofErr w:type="gramEnd"/>
      <w:r w:rsidRPr="0050212E">
        <w:rPr>
          <w:rFonts w:ascii="Roboto" w:eastAsia="Times New Roman" w:hAnsi="Roboto" w:cs="Times New Roman"/>
          <w:b/>
          <w:bCs/>
          <w:color w:val="000000"/>
          <w:sz w:val="21"/>
          <w:szCs w:val="21"/>
          <w:lang w:eastAsia="en-GB"/>
        </w:rPr>
        <w:t xml:space="preserve"> a Randomized, Controlled Trial.</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w:t>
      </w:r>
      <w:proofErr w:type="spellStart"/>
      <w:r w:rsidRPr="0050212E">
        <w:rPr>
          <w:rFonts w:ascii="Roboto" w:eastAsia="Times New Roman" w:hAnsi="Roboto" w:cs="Times New Roman"/>
          <w:color w:val="000000"/>
          <w:sz w:val="21"/>
          <w:szCs w:val="21"/>
          <w:lang w:eastAsia="en-GB"/>
        </w:rPr>
        <w:t>Rodseth</w:t>
      </w:r>
      <w:proofErr w:type="spellEnd"/>
      <w:r w:rsidRPr="0050212E">
        <w:rPr>
          <w:rFonts w:ascii="Roboto" w:eastAsia="Times New Roman" w:hAnsi="Roboto" w:cs="Times New Roman"/>
          <w:color w:val="000000"/>
          <w:sz w:val="21"/>
          <w:szCs w:val="21"/>
          <w:lang w:eastAsia="en-GB"/>
        </w:rPr>
        <w:t xml:space="preserve"> Smith, </w:t>
      </w:r>
      <w:proofErr w:type="spellStart"/>
      <w:proofErr w:type="gramStart"/>
      <w:r w:rsidRPr="0050212E">
        <w:rPr>
          <w:rFonts w:ascii="Roboto" w:eastAsia="Times New Roman" w:hAnsi="Roboto" w:cs="Times New Roman"/>
          <w:color w:val="000000"/>
          <w:sz w:val="21"/>
          <w:szCs w:val="21"/>
          <w:lang w:eastAsia="en-GB"/>
        </w:rPr>
        <w:t>Signe;Finizia</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Caterina;Petersson</w:t>
      </w:r>
      <w:proofErr w:type="spellEnd"/>
      <w:proofErr w:type="gramEnd"/>
      <w:r w:rsidRPr="0050212E">
        <w:rPr>
          <w:rFonts w:ascii="Roboto" w:eastAsia="Times New Roman" w:hAnsi="Roboto" w:cs="Times New Roman"/>
          <w:color w:val="000000"/>
          <w:sz w:val="21"/>
          <w:szCs w:val="21"/>
          <w:lang w:eastAsia="en-GB"/>
        </w:rPr>
        <w:t>, Kerstin and Tuomi, Lisa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Head &amp; Neck</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xml:space="preserve">: Dysphagia is a common side-effect after radiotherapy in head and neck cancer patients. This randomized study aimed to evaluate the effect of the shaker </w:t>
      </w:r>
      <w:r w:rsidRPr="0050212E">
        <w:rPr>
          <w:rFonts w:ascii="Roboto" w:eastAsia="Times New Roman" w:hAnsi="Roboto" w:cs="Times New Roman"/>
          <w:color w:val="000000"/>
          <w:sz w:val="21"/>
          <w:szCs w:val="21"/>
          <w:lang w:eastAsia="en-GB"/>
        </w:rPr>
        <w:lastRenderedPageBreak/>
        <w:t>head-lift exercise (HLE) after 12 months with flexible endoscopic evaluation of swallowing (FEES).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Patients were randomly assigned to the intervention (n = 30) or the control (n = 31) group. The primary outcome was change according to the Penetration Aspiration Scale (PAS) at 12 months. Secondary outcomes included change according to the dynamic imaging grade of swallowing toxicity for flexible endoscopic evaluation of swallowing (DIGEST-FEES) at 8 weeks and 12 months.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The intention-to-treat analysis revealed no significant difference between the intervention and control groups regarding the change in the PAS score from baseline to 12 months. Swallowing safety improved significantly in the control group at the 8-week follow-up.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The HLE does not seem to improve swallowing function in individuals with radiation-induced dysphagia.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5" w:tgtFrame="_blank" w:history="1">
        <w:r w:rsidRPr="0050212E">
          <w:rPr>
            <w:rFonts w:ascii="Roboto" w:eastAsia="Times New Roman" w:hAnsi="Roboto" w:cs="Times New Roman"/>
            <w:color w:val="0066CC"/>
            <w:sz w:val="21"/>
            <w:szCs w:val="21"/>
            <w:lang w:eastAsia="en-GB"/>
          </w:rPr>
          <w:t>https://libkey.io/10.1002/hed.70352</w:t>
        </w:r>
      </w:hyperlink>
    </w:p>
    <w:p w14:paraId="06FFF194" w14:textId="1BCE30FA"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16. </w:t>
      </w:r>
      <w:r w:rsidRPr="0050212E">
        <w:rPr>
          <w:rFonts w:ascii="Roboto" w:eastAsia="Times New Roman" w:hAnsi="Roboto" w:cs="Times New Roman"/>
          <w:b/>
          <w:bCs/>
          <w:color w:val="000000"/>
          <w:sz w:val="21"/>
          <w:szCs w:val="21"/>
          <w:lang w:eastAsia="en-GB"/>
        </w:rPr>
        <w:t>Implementing Dysphagia and Cognitive-Communication Disorder Care: Frontline Perspectives From Nurses in Skilled Nursing and Long-Term Care.</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Venkatesan, </w:t>
      </w:r>
      <w:proofErr w:type="spellStart"/>
      <w:r w:rsidRPr="0050212E">
        <w:rPr>
          <w:rFonts w:ascii="Roboto" w:eastAsia="Times New Roman" w:hAnsi="Roboto" w:cs="Times New Roman"/>
          <w:color w:val="000000"/>
          <w:sz w:val="21"/>
          <w:szCs w:val="21"/>
          <w:lang w:eastAsia="en-GB"/>
        </w:rPr>
        <w:t>Sundeep;Gabel</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Rodney;Pavelko</w:t>
      </w:r>
      <w:proofErr w:type="spellEnd"/>
      <w:r w:rsidRPr="0050212E">
        <w:rPr>
          <w:rFonts w:ascii="Roboto" w:eastAsia="Times New Roman" w:hAnsi="Roboto" w:cs="Times New Roman"/>
          <w:color w:val="000000"/>
          <w:sz w:val="21"/>
          <w:szCs w:val="21"/>
          <w:lang w:eastAsia="en-GB"/>
        </w:rPr>
        <w:t>, Stacey L. and Fronczek, Ann E.</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Journal of Clinical Nursing</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AIMS AND OBJECTIVES</w:t>
      </w:r>
      <w:r w:rsidRPr="0050212E">
        <w:rPr>
          <w:rFonts w:ascii="Roboto" w:eastAsia="Times New Roman" w:hAnsi="Roboto" w:cs="Times New Roman"/>
          <w:color w:val="000000"/>
          <w:sz w:val="21"/>
          <w:szCs w:val="21"/>
          <w:lang w:eastAsia="en-GB"/>
        </w:rPr>
        <w:t>: To examine how registered nurses (RNs) and licensed practical nurses (LPNs) working in skilled nursing and long-term care settings experience dysphagia and cognitive-communication disorder (CCD) care, with attention to barriers, facilitators and frontline adaptive strategies. </w:t>
      </w:r>
      <w:r w:rsidRPr="0050212E">
        <w:rPr>
          <w:rFonts w:ascii="Roboto" w:eastAsia="Times New Roman" w:hAnsi="Roboto" w:cs="Times New Roman"/>
          <w:b/>
          <w:bCs/>
          <w:color w:val="000000"/>
          <w:sz w:val="21"/>
          <w:szCs w:val="21"/>
          <w:lang w:eastAsia="en-GB"/>
        </w:rPr>
        <w:t>BACKGROUND</w:t>
      </w:r>
      <w:r w:rsidRPr="0050212E">
        <w:rPr>
          <w:rFonts w:ascii="Roboto" w:eastAsia="Times New Roman" w:hAnsi="Roboto" w:cs="Times New Roman"/>
          <w:color w:val="000000"/>
          <w:sz w:val="21"/>
          <w:szCs w:val="21"/>
          <w:lang w:eastAsia="en-GB"/>
        </w:rPr>
        <w:t>: Nurses play a central role in implementing care for individuals with dysphagia and CCD; however, care delivery is often shaped by inconsistent training, limited interprofessional coordination and variable institutional support, contributing to gaps between evidence-based recommendations and practice. </w:t>
      </w:r>
      <w:r w:rsidRPr="0050212E">
        <w:rPr>
          <w:rFonts w:ascii="Roboto" w:eastAsia="Times New Roman" w:hAnsi="Roboto" w:cs="Times New Roman"/>
          <w:b/>
          <w:bCs/>
          <w:color w:val="000000"/>
          <w:sz w:val="21"/>
          <w:szCs w:val="21"/>
          <w:lang w:eastAsia="en-GB"/>
        </w:rPr>
        <w:t>DESIGN</w:t>
      </w:r>
      <w:r w:rsidRPr="0050212E">
        <w:rPr>
          <w:rFonts w:ascii="Roboto" w:eastAsia="Times New Roman" w:hAnsi="Roboto" w:cs="Times New Roman"/>
          <w:color w:val="000000"/>
          <w:sz w:val="21"/>
          <w:szCs w:val="21"/>
          <w:lang w:eastAsia="en-GB"/>
        </w:rPr>
        <w:t>: Qualitative descriptive study.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Semi-structured interviews were conducted with 19 nurses (9 RNs, 10 LPNs). Interviews were audio-recorded, transcribed verbatim and analysed using inductive thematic analysis.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Three interrelated themes were identified describing: (1) the visibility gap between dysphagia and cognitive-communication disorders (CCD) in everyday nursing practice, (2) systemic and interprofessional barriers shaping care implementation and (3) the emotional and ethical burdens associated with frontline nursing care. Dysphagia was consistently prioritised as an immediate safety concern, whereas CCD remained less visible and was often managed through informal practices.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Nurses play a central role in translating clinical recommendations into everyday care practice. Dysphagia was consistently prioritised as an immediate patient safety concern, whereas CCD appeared less visible and less systematically managed within routine nursing care. Variability in training, communication and institutional support contributes to inconsistencies in care delivery.</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6" w:tgtFrame="_blank" w:history="1">
        <w:r w:rsidRPr="0050212E">
          <w:rPr>
            <w:rFonts w:ascii="Roboto" w:eastAsia="Times New Roman" w:hAnsi="Roboto" w:cs="Times New Roman"/>
            <w:color w:val="0066CC"/>
            <w:sz w:val="21"/>
            <w:szCs w:val="21"/>
            <w:lang w:eastAsia="en-GB"/>
          </w:rPr>
          <w:t>https://libkey.io/10.1111/jocn.70456</w:t>
        </w:r>
      </w:hyperlink>
    </w:p>
    <w:p w14:paraId="23E35EE2" w14:textId="6573F6C6"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17. </w:t>
      </w:r>
      <w:r w:rsidRPr="0050212E">
        <w:rPr>
          <w:rFonts w:ascii="Roboto" w:eastAsia="Times New Roman" w:hAnsi="Roboto" w:cs="Times New Roman"/>
          <w:b/>
          <w:bCs/>
          <w:color w:val="000000"/>
          <w:sz w:val="21"/>
          <w:szCs w:val="21"/>
          <w:lang w:eastAsia="en-GB"/>
        </w:rPr>
        <w:t xml:space="preserve">The Effect of Swallowing Related Muscle Loss on Dysphagia: A Cohort Study Based on Ultrasound Monitoring of Postoperative Patients with Intracranial </w:t>
      </w:r>
      <w:proofErr w:type="spellStart"/>
      <w:r w:rsidRPr="0050212E">
        <w:rPr>
          <w:rFonts w:ascii="Roboto" w:eastAsia="Times New Roman" w:hAnsi="Roboto" w:cs="Times New Roman"/>
          <w:b/>
          <w:bCs/>
          <w:color w:val="000000"/>
          <w:sz w:val="21"/>
          <w:szCs w:val="21"/>
          <w:lang w:eastAsia="en-GB"/>
        </w:rPr>
        <w:t>Hemorrhage</w:t>
      </w:r>
      <w:proofErr w:type="spellEnd"/>
      <w:r w:rsidRPr="0050212E">
        <w:rPr>
          <w:rFonts w:ascii="Roboto" w:eastAsia="Times New Roman" w:hAnsi="Roboto" w:cs="Times New Roman"/>
          <w:b/>
          <w:bCs/>
          <w:color w:val="000000"/>
          <w:sz w:val="21"/>
          <w:szCs w:val="21"/>
          <w:lang w:eastAsia="en-GB"/>
        </w:rPr>
        <w:t>.</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Wei, </w:t>
      </w:r>
      <w:proofErr w:type="spellStart"/>
      <w:r w:rsidRPr="0050212E">
        <w:rPr>
          <w:rFonts w:ascii="Roboto" w:eastAsia="Times New Roman" w:hAnsi="Roboto" w:cs="Times New Roman"/>
          <w:color w:val="000000"/>
          <w:sz w:val="21"/>
          <w:szCs w:val="21"/>
          <w:lang w:eastAsia="en-GB"/>
        </w:rPr>
        <w:t>Jin-</w:t>
      </w:r>
      <w:proofErr w:type="gramStart"/>
      <w:r w:rsidRPr="0050212E">
        <w:rPr>
          <w:rFonts w:ascii="Roboto" w:eastAsia="Times New Roman" w:hAnsi="Roboto" w:cs="Times New Roman"/>
          <w:color w:val="000000"/>
          <w:sz w:val="21"/>
          <w:szCs w:val="21"/>
          <w:lang w:eastAsia="en-GB"/>
        </w:rPr>
        <w:t>Ting;Wu</w:t>
      </w:r>
      <w:proofErr w:type="spellEnd"/>
      <w:proofErr w:type="gram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Hai-</w:t>
      </w:r>
      <w:proofErr w:type="gramStart"/>
      <w:r w:rsidRPr="0050212E">
        <w:rPr>
          <w:rFonts w:ascii="Roboto" w:eastAsia="Times New Roman" w:hAnsi="Roboto" w:cs="Times New Roman"/>
          <w:color w:val="000000"/>
          <w:sz w:val="21"/>
          <w:szCs w:val="21"/>
          <w:lang w:eastAsia="en-GB"/>
        </w:rPr>
        <w:t>Ping;Hu</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Yue;Zhang</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Xin;Ma</w:t>
      </w:r>
      <w:proofErr w:type="spellEnd"/>
      <w:proofErr w:type="gram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Shi-</w:t>
      </w:r>
      <w:proofErr w:type="gramStart"/>
      <w:r w:rsidRPr="0050212E">
        <w:rPr>
          <w:rFonts w:ascii="Roboto" w:eastAsia="Times New Roman" w:hAnsi="Roboto" w:cs="Times New Roman"/>
          <w:color w:val="000000"/>
          <w:sz w:val="21"/>
          <w:szCs w:val="21"/>
          <w:lang w:eastAsia="en-GB"/>
        </w:rPr>
        <w:t>Jing;Feng</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Tao;Zhong</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Bin;Bai</w:t>
      </w:r>
      <w:proofErr w:type="spellEnd"/>
      <w:proofErr w:type="gram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Zhi-</w:t>
      </w:r>
      <w:proofErr w:type="gramStart"/>
      <w:r w:rsidRPr="0050212E">
        <w:rPr>
          <w:rFonts w:ascii="Roboto" w:eastAsia="Times New Roman" w:hAnsi="Roboto" w:cs="Times New Roman"/>
          <w:color w:val="000000"/>
          <w:sz w:val="21"/>
          <w:szCs w:val="21"/>
          <w:lang w:eastAsia="en-GB"/>
        </w:rPr>
        <w:t>Kun;Huang</w:t>
      </w:r>
      <w:proofErr w:type="spellEnd"/>
      <w:proofErr w:type="gram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Ling-</w:t>
      </w:r>
      <w:proofErr w:type="gramStart"/>
      <w:r w:rsidRPr="0050212E">
        <w:rPr>
          <w:rFonts w:ascii="Roboto" w:eastAsia="Times New Roman" w:hAnsi="Roboto" w:cs="Times New Roman"/>
          <w:color w:val="000000"/>
          <w:sz w:val="21"/>
          <w:szCs w:val="21"/>
          <w:lang w:eastAsia="en-GB"/>
        </w:rPr>
        <w:t>Ling;Zhang</w:t>
      </w:r>
      <w:proofErr w:type="spellEnd"/>
      <w:proofErr w:type="gramEnd"/>
      <w:r w:rsidRPr="0050212E">
        <w:rPr>
          <w:rFonts w:ascii="Roboto" w:eastAsia="Times New Roman" w:hAnsi="Roboto" w:cs="Times New Roman"/>
          <w:color w:val="000000"/>
          <w:sz w:val="21"/>
          <w:szCs w:val="21"/>
          <w:lang w:eastAsia="en-GB"/>
        </w:rPr>
        <w:t>, Qiu-Yan and Wang, Jin-Hua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Dysphagia</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lastRenderedPageBreak/>
        <w:t>Abstract: </w:t>
      </w:r>
      <w:r w:rsidRPr="0050212E">
        <w:rPr>
          <w:rFonts w:ascii="Roboto" w:eastAsia="Times New Roman" w:hAnsi="Roboto" w:cs="Times New Roman"/>
          <w:color w:val="000000"/>
          <w:sz w:val="21"/>
          <w:szCs w:val="21"/>
          <w:lang w:eastAsia="en-GB"/>
        </w:rPr>
        <w:t xml:space="preserve">Acquired dysphagia is a common complication after intracranial </w:t>
      </w:r>
      <w:proofErr w:type="spellStart"/>
      <w:r w:rsidRPr="0050212E">
        <w:rPr>
          <w:rFonts w:ascii="Roboto" w:eastAsia="Times New Roman" w:hAnsi="Roboto" w:cs="Times New Roman"/>
          <w:color w:val="000000"/>
          <w:sz w:val="21"/>
          <w:szCs w:val="21"/>
          <w:lang w:eastAsia="en-GB"/>
        </w:rPr>
        <w:t>hemorrhage</w:t>
      </w:r>
      <w:proofErr w:type="spellEnd"/>
      <w:r w:rsidRPr="0050212E">
        <w:rPr>
          <w:rFonts w:ascii="Roboto" w:eastAsia="Times New Roman" w:hAnsi="Roboto" w:cs="Times New Roman"/>
          <w:color w:val="000000"/>
          <w:sz w:val="21"/>
          <w:szCs w:val="21"/>
          <w:lang w:eastAsia="en-GB"/>
        </w:rPr>
        <w:t xml:space="preserve"> (ICH) and leads to poor prognosis. The relationship between dysphagia and stroke-related sarcopenia has recently received attention, but the related factors and prediction models are still poorly understood. The purpose of this study was to investigate the risk factors of dysphagia in patients after ICH and the effect of swallowing-related muscle loss on swallowing function during endotracheal intubation (IET) retention, and to establish a simplified dysphagia prediction model. Bedside ultrasound was used to monitor swallowing-related changes during IET in patients after ICH surgery, and swallowing function information was collected when patients entered the rehabilitation medicine department for rehabilitation. Total of 97 patients with ICH were included for analysis, and the incidence of dysphagia was 70.10%. Masseter muscle thickness (MMT), temporal muscle thickness (TMT), duration of IET, operation time (OT), and Barthel Index were significantly different between the dysphagia group and the non-dysphagia group. Logistic regression analysis showed that the changes in MMT, duration of IET, and OT were risk factors for dysphagia. The cutoff values were MMT reduction of 0.85 mm, duration of ETI were 6.5 days, and OT were 225 min. ROC analysis showed that the nomogram AUC was 0.882 (0.807-0.957). The model based on Ultrasound assessment of swallowing-related muscle loss combined with objective clinical data revealed that the changed of MMT, the ETI duration and OT are risk factors for dysphagia in patients after </w:t>
      </w:r>
      <w:proofErr w:type="gramStart"/>
      <w:r w:rsidRPr="0050212E">
        <w:rPr>
          <w:rFonts w:ascii="Roboto" w:eastAsia="Times New Roman" w:hAnsi="Roboto" w:cs="Times New Roman"/>
          <w:color w:val="000000"/>
          <w:sz w:val="21"/>
          <w:szCs w:val="21"/>
          <w:lang w:eastAsia="en-GB"/>
        </w:rPr>
        <w:t>ICH, and</w:t>
      </w:r>
      <w:proofErr w:type="gramEnd"/>
      <w:r w:rsidRPr="0050212E">
        <w:rPr>
          <w:rFonts w:ascii="Roboto" w:eastAsia="Times New Roman" w:hAnsi="Roboto" w:cs="Times New Roman"/>
          <w:color w:val="000000"/>
          <w:sz w:val="21"/>
          <w:szCs w:val="21"/>
          <w:lang w:eastAsia="en-GB"/>
        </w:rPr>
        <w:t xml:space="preserve"> are also effective indicators for predicting dysphagia after ICH.</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7" w:tgtFrame="_blank" w:history="1">
        <w:r w:rsidRPr="0050212E">
          <w:rPr>
            <w:rFonts w:ascii="Roboto" w:eastAsia="Times New Roman" w:hAnsi="Roboto" w:cs="Times New Roman"/>
            <w:color w:val="0066CC"/>
            <w:sz w:val="21"/>
            <w:szCs w:val="21"/>
            <w:lang w:eastAsia="en-GB"/>
          </w:rPr>
          <w:t>https://libkey.io/10.1007/s00455-026-10954-3</w:t>
        </w:r>
      </w:hyperlink>
    </w:p>
    <w:p w14:paraId="64BBCCB5" w14:textId="16C923D1"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18. </w:t>
      </w:r>
      <w:r w:rsidRPr="0050212E">
        <w:rPr>
          <w:rFonts w:ascii="Roboto" w:eastAsia="Times New Roman" w:hAnsi="Roboto" w:cs="Times New Roman"/>
          <w:b/>
          <w:bCs/>
          <w:color w:val="000000"/>
          <w:sz w:val="21"/>
          <w:szCs w:val="21"/>
          <w:lang w:eastAsia="en-GB"/>
        </w:rPr>
        <w:t>Effects of Forward Head Posture on Submental Muscle Activations During Swallowing Tasks, Dysphagia Limit, and Tongue Pressure Force in Healthy Volunteers.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w:t>
      </w:r>
      <w:proofErr w:type="spellStart"/>
      <w:r w:rsidRPr="0050212E">
        <w:rPr>
          <w:rFonts w:ascii="Roboto" w:eastAsia="Times New Roman" w:hAnsi="Roboto" w:cs="Times New Roman"/>
          <w:color w:val="000000"/>
          <w:sz w:val="21"/>
          <w:szCs w:val="21"/>
          <w:lang w:eastAsia="en-GB"/>
        </w:rPr>
        <w:t>Yasaroglu</w:t>
      </w:r>
      <w:proofErr w:type="spellEnd"/>
      <w:r w:rsidRPr="0050212E">
        <w:rPr>
          <w:rFonts w:ascii="Roboto" w:eastAsia="Times New Roman" w:hAnsi="Roboto" w:cs="Times New Roman"/>
          <w:color w:val="000000"/>
          <w:sz w:val="21"/>
          <w:szCs w:val="21"/>
          <w:lang w:eastAsia="en-GB"/>
        </w:rPr>
        <w:t xml:space="preserve">, Omer </w:t>
      </w:r>
      <w:proofErr w:type="spellStart"/>
      <w:proofErr w:type="gramStart"/>
      <w:r w:rsidRPr="0050212E">
        <w:rPr>
          <w:rFonts w:ascii="Roboto" w:eastAsia="Times New Roman" w:hAnsi="Roboto" w:cs="Times New Roman"/>
          <w:color w:val="000000"/>
          <w:sz w:val="21"/>
          <w:szCs w:val="21"/>
          <w:lang w:eastAsia="en-GB"/>
        </w:rPr>
        <w:t>Faruk;Cengiz</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Emre;Kilinc</w:t>
      </w:r>
      <w:proofErr w:type="spellEnd"/>
      <w:proofErr w:type="gramEnd"/>
      <w:r w:rsidRPr="0050212E">
        <w:rPr>
          <w:rFonts w:ascii="Roboto" w:eastAsia="Times New Roman" w:hAnsi="Roboto" w:cs="Times New Roman"/>
          <w:color w:val="000000"/>
          <w:sz w:val="21"/>
          <w:szCs w:val="21"/>
          <w:lang w:eastAsia="en-GB"/>
        </w:rPr>
        <w:t xml:space="preserve">, Hasan </w:t>
      </w:r>
      <w:proofErr w:type="spellStart"/>
      <w:proofErr w:type="gramStart"/>
      <w:r w:rsidRPr="0050212E">
        <w:rPr>
          <w:rFonts w:ascii="Roboto" w:eastAsia="Times New Roman" w:hAnsi="Roboto" w:cs="Times New Roman"/>
          <w:color w:val="000000"/>
          <w:sz w:val="21"/>
          <w:szCs w:val="21"/>
          <w:lang w:eastAsia="en-GB"/>
        </w:rPr>
        <w:t>Erkan;Demir</w:t>
      </w:r>
      <w:proofErr w:type="spellEnd"/>
      <w:proofErr w:type="gramEnd"/>
      <w:r w:rsidRPr="0050212E">
        <w:rPr>
          <w:rFonts w:ascii="Roboto" w:eastAsia="Times New Roman" w:hAnsi="Roboto" w:cs="Times New Roman"/>
          <w:color w:val="000000"/>
          <w:sz w:val="21"/>
          <w:szCs w:val="21"/>
          <w:lang w:eastAsia="en-GB"/>
        </w:rPr>
        <w:t>, Numan and Arslan, Selen Serel</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Dysphagia</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 xml:space="preserve">Swallowing is a complex function depending on head and neck biomechanics. Forward Head Posture (FHP) is one of the most researched postural problems in swallowing rehabilitation. However, there are conflicting results regarding the relationship between FHP and swallowing related structures. The aim of this study is to investigate the effect of FHP on submental muscle activation (SMA), dysphagia limit (DL), and anterior and posterior tongue pressure force in healthy volunteers. Fifty-four healthy volunteers were included in the study. All volunteers were photographed from the lateral plane during the water swallowing task for head and neck biomechanics evaluations. The images were </w:t>
      </w:r>
      <w:proofErr w:type="spellStart"/>
      <w:r w:rsidRPr="0050212E">
        <w:rPr>
          <w:rFonts w:ascii="Roboto" w:eastAsia="Times New Roman" w:hAnsi="Roboto" w:cs="Times New Roman"/>
          <w:color w:val="000000"/>
          <w:sz w:val="21"/>
          <w:szCs w:val="21"/>
          <w:lang w:eastAsia="en-GB"/>
        </w:rPr>
        <w:t>analyzed</w:t>
      </w:r>
      <w:proofErr w:type="spellEnd"/>
      <w:r w:rsidRPr="0050212E">
        <w:rPr>
          <w:rFonts w:ascii="Roboto" w:eastAsia="Times New Roman" w:hAnsi="Roboto" w:cs="Times New Roman"/>
          <w:color w:val="000000"/>
          <w:sz w:val="21"/>
          <w:szCs w:val="21"/>
          <w:lang w:eastAsia="en-GB"/>
        </w:rPr>
        <w:t xml:space="preserve"> in the </w:t>
      </w:r>
      <w:proofErr w:type="gramStart"/>
      <w:r w:rsidRPr="0050212E">
        <w:rPr>
          <w:rFonts w:ascii="Roboto" w:eastAsia="Times New Roman" w:hAnsi="Roboto" w:cs="Times New Roman"/>
          <w:color w:val="000000"/>
          <w:sz w:val="21"/>
          <w:szCs w:val="21"/>
          <w:lang w:eastAsia="en-GB"/>
        </w:rPr>
        <w:t>ImageJ</w:t>
      </w:r>
      <w:proofErr w:type="gramEnd"/>
      <w:r w:rsidRPr="0050212E">
        <w:rPr>
          <w:rFonts w:ascii="Roboto" w:eastAsia="Times New Roman" w:hAnsi="Roboto" w:cs="Times New Roman"/>
          <w:color w:val="000000"/>
          <w:sz w:val="21"/>
          <w:szCs w:val="21"/>
          <w:lang w:eastAsia="en-GB"/>
        </w:rPr>
        <w:t xml:space="preserve"> and the craniovertebral angle (CVA) and cranial rotation angle (CRA) were measured. The volunteers were divided into two groups: Presence of FHP and normal head posture (NHP). For SMA, surface electromyography (</w:t>
      </w:r>
      <w:proofErr w:type="spellStart"/>
      <w:r w:rsidRPr="0050212E">
        <w:rPr>
          <w:rFonts w:ascii="Roboto" w:eastAsia="Times New Roman" w:hAnsi="Roboto" w:cs="Times New Roman"/>
          <w:color w:val="000000"/>
          <w:sz w:val="21"/>
          <w:szCs w:val="21"/>
          <w:lang w:eastAsia="en-GB"/>
        </w:rPr>
        <w:t>sEMG</w:t>
      </w:r>
      <w:proofErr w:type="spellEnd"/>
      <w:r w:rsidRPr="0050212E">
        <w:rPr>
          <w:rFonts w:ascii="Roboto" w:eastAsia="Times New Roman" w:hAnsi="Roboto" w:cs="Times New Roman"/>
          <w:color w:val="000000"/>
          <w:sz w:val="21"/>
          <w:szCs w:val="21"/>
          <w:lang w:eastAsia="en-GB"/>
        </w:rPr>
        <w:t xml:space="preserve">) was recorded during 10 mL normal and 10 mL effortful swallows. The DL of the volunteers was recorded with the help of </w:t>
      </w:r>
      <w:proofErr w:type="spellStart"/>
      <w:r w:rsidRPr="0050212E">
        <w:rPr>
          <w:rFonts w:ascii="Roboto" w:eastAsia="Times New Roman" w:hAnsi="Roboto" w:cs="Times New Roman"/>
          <w:color w:val="000000"/>
          <w:sz w:val="21"/>
          <w:szCs w:val="21"/>
          <w:lang w:eastAsia="en-GB"/>
        </w:rPr>
        <w:t>sEMG</w:t>
      </w:r>
      <w:proofErr w:type="spellEnd"/>
      <w:r w:rsidRPr="0050212E">
        <w:rPr>
          <w:rFonts w:ascii="Roboto" w:eastAsia="Times New Roman" w:hAnsi="Roboto" w:cs="Times New Roman"/>
          <w:color w:val="000000"/>
          <w:sz w:val="21"/>
          <w:szCs w:val="21"/>
          <w:lang w:eastAsia="en-GB"/>
        </w:rPr>
        <w:t>. Tongue strength was recorded with the Iowa Oral Pressure Instrument, including anterior and posterior tongue pressure force. There was a significant difference between the SMAs recorded during effortful swallowing between the FHP and NHP groups (p 0.05). There was no difference in anterior and posterior tongue pressure force between the groups (p &gt; 0.05). In the present study, volunteers with FHP had lower SMA during effortful swallow. There was no difference between the groups in terms of SMA during normal swallowing, DL, and anterior and posterior tongue pressure force. These results indicate that correct head and neck posture during swallowing leads to greater SMA. This suggests that considering posture in swallowing rehabilitation may support swallowing function.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Access or request full text: </w:t>
      </w:r>
      <w:hyperlink r:id="rId38" w:tgtFrame="_blank" w:history="1">
        <w:r w:rsidRPr="0050212E">
          <w:rPr>
            <w:rFonts w:ascii="Roboto" w:eastAsia="Times New Roman" w:hAnsi="Roboto" w:cs="Times New Roman"/>
            <w:color w:val="0066CC"/>
            <w:sz w:val="21"/>
            <w:szCs w:val="21"/>
            <w:lang w:eastAsia="en-GB"/>
          </w:rPr>
          <w:t>https://libkey.io/10.1007/s00455-026-10987-8</w:t>
        </w:r>
      </w:hyperlink>
    </w:p>
    <w:p w14:paraId="13A915F8" w14:textId="0E673058"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19. </w:t>
      </w:r>
      <w:r w:rsidRPr="0050212E">
        <w:rPr>
          <w:rFonts w:ascii="Roboto" w:eastAsia="Times New Roman" w:hAnsi="Roboto" w:cs="Times New Roman"/>
          <w:b/>
          <w:bCs/>
          <w:color w:val="000000"/>
          <w:sz w:val="21"/>
          <w:szCs w:val="21"/>
          <w:lang w:eastAsia="en-GB"/>
        </w:rPr>
        <w:t>Comparison of the Efficacy of Electrical Stimulation Modalities in Treating Post-Stroke Dysphagia: A Meta-Analysis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Zhu, Jiahui and Zheng, </w:t>
      </w:r>
      <w:proofErr w:type="spellStart"/>
      <w:r w:rsidRPr="0050212E">
        <w:rPr>
          <w:rFonts w:ascii="Roboto" w:eastAsia="Times New Roman" w:hAnsi="Roboto" w:cs="Times New Roman"/>
          <w:color w:val="000000"/>
          <w:sz w:val="21"/>
          <w:szCs w:val="21"/>
          <w:lang w:eastAsia="en-GB"/>
        </w:rPr>
        <w:t>Zhanghua</w:t>
      </w:r>
      <w:proofErr w:type="spellEnd"/>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Dysphagia</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w:t>
      </w:r>
      <w:r w:rsidRPr="0050212E">
        <w:rPr>
          <w:rFonts w:ascii="Roboto" w:eastAsia="Times New Roman" w:hAnsi="Roboto" w:cs="Times New Roman"/>
          <w:color w:val="000000"/>
          <w:sz w:val="21"/>
          <w:szCs w:val="21"/>
          <w:lang w:eastAsia="en-GB"/>
        </w:rPr>
        <w:t>Evidence on electrical stimulation for post-stroke dysphagia (PSD) remains inconsistent. This meta-analysis evaluated the efficacy of neuromuscular electrical stimulation (NMES), transcranial direct current stimulation (</w:t>
      </w:r>
      <w:proofErr w:type="spellStart"/>
      <w:r w:rsidRPr="0050212E">
        <w:rPr>
          <w:rFonts w:ascii="Roboto" w:eastAsia="Times New Roman" w:hAnsi="Roboto" w:cs="Times New Roman"/>
          <w:color w:val="000000"/>
          <w:sz w:val="21"/>
          <w:szCs w:val="21"/>
          <w:lang w:eastAsia="en-GB"/>
        </w:rPr>
        <w:t>tDCS</w:t>
      </w:r>
      <w:proofErr w:type="spellEnd"/>
      <w:r w:rsidRPr="0050212E">
        <w:rPr>
          <w:rFonts w:ascii="Roboto" w:eastAsia="Times New Roman" w:hAnsi="Roboto" w:cs="Times New Roman"/>
          <w:color w:val="000000"/>
          <w:sz w:val="21"/>
          <w:szCs w:val="21"/>
          <w:lang w:eastAsia="en-GB"/>
        </w:rPr>
        <w:t>), and peripheral electrical stimulation (PES). Randomized controlled trials (RCTs) investigating electrical stimulation therapy for patients with post-stroke dysphagia were searched in PubMed, Embase, and the Cochrane Library from inception to December 12, 2024. The primary outcomes were the Functional Oral Intake Scale (FOIS), Dysphagia Outcome and Severity Scale (DOSS), Penetration-Aspiration Scale (PAS), and Standardized Swallowing Assessment (SSA). Secondary outcomes included pharyngeal transit time (PTT), oral transit time (OTT), and surface electromyography (</w:t>
      </w:r>
      <w:proofErr w:type="spellStart"/>
      <w:r w:rsidRPr="0050212E">
        <w:rPr>
          <w:rFonts w:ascii="Roboto" w:eastAsia="Times New Roman" w:hAnsi="Roboto" w:cs="Times New Roman"/>
          <w:color w:val="000000"/>
          <w:sz w:val="21"/>
          <w:szCs w:val="21"/>
          <w:lang w:eastAsia="en-GB"/>
        </w:rPr>
        <w:t>sEMG</w:t>
      </w:r>
      <w:proofErr w:type="spellEnd"/>
      <w:r w:rsidRPr="0050212E">
        <w:rPr>
          <w:rFonts w:ascii="Roboto" w:eastAsia="Times New Roman" w:hAnsi="Roboto" w:cs="Times New Roman"/>
          <w:color w:val="000000"/>
          <w:sz w:val="21"/>
          <w:szCs w:val="21"/>
          <w:lang w:eastAsia="en-GB"/>
        </w:rPr>
        <w:t>) signals of swallowing muscles. Meta-analysis was performed by pooling the Mean Difference (MD) with 95% confidence intervals (CI). Short-term: =4 weeks.39 RCTs were included. Electrical stimulation improved short-term DOSS (MD = 1.13, 95% CI 0.15 to 2.11, P = 0.02), long-term FOIS (MD = 1.20, 95% CI 0.64 to 1.77, P =4 weeks.39 RCTs were included. Electrical stimulation improved short-term DOSS (MD = 1.13, 95% CI 0.15 to 2.11, P = 0.02), long-term FOIS (MD = 1.20, 95% CI 0.64 to 1.77, P =4 weeks.39 RCTs were included. Electrical stimulation improved short-term DOSS (MD = 1.13, 95% CI 0.15 to 2.11, P = 0.02), long-term FOIS (MD = 1.20, 95% CI 0.64 to 1.77, P 0.05). Electrical stimulation is effective for post-stroke dysphagia, with efficacy influenced by stimulation type and duration.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39" w:tgtFrame="_blank" w:history="1">
        <w:r w:rsidRPr="0050212E">
          <w:rPr>
            <w:rFonts w:ascii="Roboto" w:eastAsia="Times New Roman" w:hAnsi="Roboto" w:cs="Times New Roman"/>
            <w:color w:val="0066CC"/>
            <w:sz w:val="21"/>
            <w:szCs w:val="21"/>
            <w:lang w:eastAsia="en-GB"/>
          </w:rPr>
          <w:t>https://libkey.io/10.1007/s00455-026-10985-w</w:t>
        </w:r>
      </w:hyperlink>
    </w:p>
    <w:p w14:paraId="0B4A9345" w14:textId="72EEFE5F" w:rsidR="00DD6D1E" w:rsidRPr="0050212E" w:rsidRDefault="0050212E" w:rsidP="0050212E">
      <w:pPr>
        <w:pStyle w:val="Default"/>
        <w:rPr>
          <w:sz w:val="20"/>
          <w:szCs w:val="22"/>
        </w:rPr>
      </w:pPr>
      <w:r w:rsidRPr="0050212E">
        <w:rPr>
          <w:rFonts w:ascii="Roboto" w:eastAsia="Times New Roman" w:hAnsi="Roboto" w:cs="Times New Roman"/>
          <w:i/>
          <w:iCs/>
          <w:sz w:val="21"/>
          <w:szCs w:val="21"/>
          <w:shd w:val="clear" w:color="auto" w:fill="FFFFFF"/>
          <w:lang w:eastAsia="en-GB"/>
        </w:rPr>
        <w:t>You will need your </w:t>
      </w:r>
      <w:hyperlink r:id="rId40" w:history="1">
        <w:r w:rsidRPr="0050212E">
          <w:rPr>
            <w:rFonts w:ascii="Roboto" w:eastAsia="Times New Roman" w:hAnsi="Roboto" w:cs="Times New Roman"/>
            <w:i/>
            <w:iCs/>
            <w:color w:val="0066CC"/>
            <w:sz w:val="21"/>
            <w:szCs w:val="21"/>
            <w:lang w:eastAsia="en-GB"/>
          </w:rPr>
          <w:t>NHS OpenAthens account</w:t>
        </w:r>
      </w:hyperlink>
      <w:r w:rsidRPr="0050212E">
        <w:rPr>
          <w:rFonts w:ascii="Roboto" w:eastAsia="Times New Roman" w:hAnsi="Roboto" w:cs="Times New Roman"/>
          <w:i/>
          <w:iCs/>
          <w:sz w:val="21"/>
          <w:szCs w:val="21"/>
          <w:shd w:val="clear" w:color="auto" w:fill="FFFFFF"/>
          <w:lang w:eastAsia="en-GB"/>
        </w:rPr>
        <w:t> to access the full text of licenced content.</w:t>
      </w:r>
      <w:r w:rsidRPr="0050212E">
        <w:rPr>
          <w:rFonts w:ascii="Roboto" w:eastAsia="Times New Roman" w:hAnsi="Roboto" w:cs="Times New Roman"/>
          <w:sz w:val="21"/>
          <w:szCs w:val="21"/>
          <w:lang w:eastAsia="en-GB"/>
        </w:rPr>
        <w:br/>
      </w:r>
      <w:r w:rsidRPr="0050212E">
        <w:rPr>
          <w:rFonts w:ascii="Roboto" w:eastAsia="Times New Roman" w:hAnsi="Roboto" w:cs="Times New Roman"/>
          <w:i/>
          <w:iCs/>
          <w:sz w:val="21"/>
          <w:szCs w:val="21"/>
          <w:shd w:val="clear" w:color="auto" w:fill="FFFFFF"/>
          <w:lang w:eastAsia="en-GB"/>
        </w:rPr>
        <w:t>This service is provided to the NHS in England by NHSE Workforce, Training &amp; Education.</w:t>
      </w:r>
    </w:p>
    <w:p w14:paraId="470063AE" w14:textId="77777777" w:rsidR="00DD6D1E" w:rsidRDefault="00E530FB" w:rsidP="003E7AE2">
      <w:pPr>
        <w:pStyle w:val="Heading1"/>
      </w:pPr>
      <w:bookmarkStart w:id="3" w:name="_Toc236661550"/>
      <w:proofErr w:type="spellStart"/>
      <w:r>
        <w:t>Videofluoroscopy</w:t>
      </w:r>
      <w:bookmarkEnd w:id="3"/>
      <w:proofErr w:type="spellEnd"/>
    </w:p>
    <w:p w14:paraId="44DF0A2B" w14:textId="1AD19520"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1. </w:t>
      </w:r>
      <w:r w:rsidRPr="0050212E">
        <w:rPr>
          <w:rFonts w:ascii="Roboto" w:eastAsia="Times New Roman" w:hAnsi="Roboto" w:cs="Times New Roman"/>
          <w:b/>
          <w:bCs/>
          <w:color w:val="000000"/>
          <w:sz w:val="21"/>
          <w:szCs w:val="21"/>
          <w:lang w:eastAsia="en-GB"/>
        </w:rPr>
        <w:t xml:space="preserve">Longitudinal </w:t>
      </w:r>
      <w:proofErr w:type="spellStart"/>
      <w:r w:rsidRPr="0050212E">
        <w:rPr>
          <w:rFonts w:ascii="Roboto" w:eastAsia="Times New Roman" w:hAnsi="Roboto" w:cs="Times New Roman"/>
          <w:b/>
          <w:bCs/>
          <w:color w:val="000000"/>
          <w:sz w:val="21"/>
          <w:szCs w:val="21"/>
          <w:lang w:eastAsia="en-GB"/>
        </w:rPr>
        <w:t>Videofluorographic</w:t>
      </w:r>
      <w:proofErr w:type="spellEnd"/>
      <w:r w:rsidRPr="0050212E">
        <w:rPr>
          <w:rFonts w:ascii="Roboto" w:eastAsia="Times New Roman" w:hAnsi="Roboto" w:cs="Times New Roman"/>
          <w:b/>
          <w:bCs/>
          <w:color w:val="000000"/>
          <w:sz w:val="21"/>
          <w:szCs w:val="21"/>
          <w:lang w:eastAsia="en-GB"/>
        </w:rPr>
        <w:t xml:space="preserve"> Dysphagia Measures in Progressive Supranuclear Palsy.</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Cattani, Anna </w:t>
      </w:r>
      <w:proofErr w:type="spellStart"/>
      <w:proofErr w:type="gramStart"/>
      <w:r w:rsidRPr="0050212E">
        <w:rPr>
          <w:rFonts w:ascii="Roboto" w:eastAsia="Times New Roman" w:hAnsi="Roboto" w:cs="Times New Roman"/>
          <w:color w:val="000000"/>
          <w:sz w:val="21"/>
          <w:szCs w:val="21"/>
          <w:lang w:eastAsia="en-GB"/>
        </w:rPr>
        <w:t>Chiara;Bhaskaran</w:t>
      </w:r>
      <w:proofErr w:type="spellEnd"/>
      <w:proofErr w:type="gramEnd"/>
      <w:r w:rsidRPr="0050212E">
        <w:rPr>
          <w:rFonts w:ascii="Roboto" w:eastAsia="Times New Roman" w:hAnsi="Roboto" w:cs="Times New Roman"/>
          <w:color w:val="000000"/>
          <w:sz w:val="21"/>
          <w:szCs w:val="21"/>
          <w:lang w:eastAsia="en-GB"/>
        </w:rPr>
        <w:t xml:space="preserve">, Jerusha </w:t>
      </w:r>
      <w:proofErr w:type="spellStart"/>
      <w:proofErr w:type="gramStart"/>
      <w:r w:rsidRPr="0050212E">
        <w:rPr>
          <w:rFonts w:ascii="Roboto" w:eastAsia="Times New Roman" w:hAnsi="Roboto" w:cs="Times New Roman"/>
          <w:color w:val="000000"/>
          <w:sz w:val="21"/>
          <w:szCs w:val="21"/>
          <w:lang w:eastAsia="en-GB"/>
        </w:rPr>
        <w:t>G.;Ali</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Farwa;Stierwalt</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Julie;Agosta</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Federica;Filippi</w:t>
      </w:r>
      <w:proofErr w:type="spellEnd"/>
      <w:proofErr w:type="gramEnd"/>
      <w:r w:rsidRPr="0050212E">
        <w:rPr>
          <w:rFonts w:ascii="Roboto" w:eastAsia="Times New Roman" w:hAnsi="Roboto" w:cs="Times New Roman"/>
          <w:color w:val="000000"/>
          <w:sz w:val="21"/>
          <w:szCs w:val="21"/>
          <w:lang w:eastAsia="en-GB"/>
        </w:rPr>
        <w:t xml:space="preserve">, </w:t>
      </w:r>
      <w:proofErr w:type="spellStart"/>
      <w:proofErr w:type="gramStart"/>
      <w:r w:rsidRPr="0050212E">
        <w:rPr>
          <w:rFonts w:ascii="Roboto" w:eastAsia="Times New Roman" w:hAnsi="Roboto" w:cs="Times New Roman"/>
          <w:color w:val="000000"/>
          <w:sz w:val="21"/>
          <w:szCs w:val="21"/>
          <w:lang w:eastAsia="en-GB"/>
        </w:rPr>
        <w:t>Massimo;Josephs</w:t>
      </w:r>
      <w:proofErr w:type="spellEnd"/>
      <w:proofErr w:type="gramEnd"/>
      <w:r w:rsidRPr="0050212E">
        <w:rPr>
          <w:rFonts w:ascii="Roboto" w:eastAsia="Times New Roman" w:hAnsi="Roboto" w:cs="Times New Roman"/>
          <w:color w:val="000000"/>
          <w:sz w:val="21"/>
          <w:szCs w:val="21"/>
          <w:lang w:eastAsia="en-GB"/>
        </w:rPr>
        <w:t xml:space="preserve">, Keith </w:t>
      </w:r>
      <w:proofErr w:type="spellStart"/>
      <w:proofErr w:type="gramStart"/>
      <w:r w:rsidRPr="0050212E">
        <w:rPr>
          <w:rFonts w:ascii="Roboto" w:eastAsia="Times New Roman" w:hAnsi="Roboto" w:cs="Times New Roman"/>
          <w:color w:val="000000"/>
          <w:sz w:val="21"/>
          <w:szCs w:val="21"/>
          <w:lang w:eastAsia="en-GB"/>
        </w:rPr>
        <w:t>A.;Clark</w:t>
      </w:r>
      <w:proofErr w:type="spellEnd"/>
      <w:proofErr w:type="gramEnd"/>
      <w:r w:rsidRPr="0050212E">
        <w:rPr>
          <w:rFonts w:ascii="Roboto" w:eastAsia="Times New Roman" w:hAnsi="Roboto" w:cs="Times New Roman"/>
          <w:color w:val="000000"/>
          <w:sz w:val="21"/>
          <w:szCs w:val="21"/>
          <w:lang w:eastAsia="en-GB"/>
        </w:rPr>
        <w:t>, Heather M. and Whitwell, Jennifer L.</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Movement Disorders Clinical Practice</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Dysphagia can lead to fatal aspiration pneumonia in progressive supranuclear palsy (PSP). Little is known about the longitudinal progression of dysphagia or whether it differs across PSP clinical variants. </w:t>
      </w:r>
      <w:r w:rsidRPr="0050212E">
        <w:rPr>
          <w:rFonts w:ascii="Roboto" w:eastAsia="Times New Roman" w:hAnsi="Roboto" w:cs="Times New Roman"/>
          <w:b/>
          <w:bCs/>
          <w:color w:val="000000"/>
          <w:sz w:val="21"/>
          <w:szCs w:val="21"/>
          <w:lang w:eastAsia="en-GB"/>
        </w:rPr>
        <w:t>OBJECTIVES</w:t>
      </w:r>
      <w:r w:rsidRPr="0050212E">
        <w:rPr>
          <w:rFonts w:ascii="Roboto" w:eastAsia="Times New Roman" w:hAnsi="Roboto" w:cs="Times New Roman"/>
          <w:color w:val="000000"/>
          <w:sz w:val="21"/>
          <w:szCs w:val="21"/>
          <w:lang w:eastAsia="en-GB"/>
        </w:rPr>
        <w:t>: To characterize longitudinal changes in dysphagia across PSP variants and determine relationships with disease severity and rate of atrophy in PSP-related regions.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xml:space="preserve">: Sixty-one PSP patients were recruited and underwent at least two serial evaluations, comprising neurological and </w:t>
      </w:r>
      <w:proofErr w:type="spellStart"/>
      <w:r w:rsidRPr="0050212E">
        <w:rPr>
          <w:rFonts w:ascii="Roboto" w:eastAsia="Times New Roman" w:hAnsi="Roboto" w:cs="Times New Roman"/>
          <w:color w:val="000000"/>
          <w:sz w:val="21"/>
          <w:szCs w:val="21"/>
          <w:lang w:eastAsia="en-GB"/>
        </w:rPr>
        <w:t>videofluorographic</w:t>
      </w:r>
      <w:proofErr w:type="spellEnd"/>
      <w:r w:rsidRPr="0050212E">
        <w:rPr>
          <w:rFonts w:ascii="Roboto" w:eastAsia="Times New Roman" w:hAnsi="Roboto" w:cs="Times New Roman"/>
          <w:color w:val="000000"/>
          <w:sz w:val="21"/>
          <w:szCs w:val="21"/>
          <w:lang w:eastAsia="en-GB"/>
        </w:rPr>
        <w:t xml:space="preserve"> exams, and MRI. Variables-of-interest were the oral and pharyngeal total sum scores (OTSS/PTSS) from the Modified Barium Swallow Impairment Profile, the </w:t>
      </w:r>
      <w:r w:rsidRPr="0050212E">
        <w:rPr>
          <w:rFonts w:ascii="Roboto" w:eastAsia="Times New Roman" w:hAnsi="Roboto" w:cs="Times New Roman"/>
          <w:color w:val="000000"/>
          <w:sz w:val="21"/>
          <w:szCs w:val="21"/>
          <w:lang w:eastAsia="en-GB"/>
        </w:rPr>
        <w:lastRenderedPageBreak/>
        <w:t>Penetration Aspiration Scale (PAS), Functional Oral Intake Scale (FOIS), and lingual pressure assessments. Rates of change were compared across PSP variants and related to baseline scores, PSP Rating Scale and regional brain atrophy rates.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Dysphagia progressed longitudinally, particularly with worsening in OTSS and anterior and posterior lingual pressures. Rate of change in OTSS was fastest in PSP with predominant speech-language disorder. Negative correlations were observed between rates of change and baseline scores for OTSS, PTSS and PAS. Rates of change in lingual pressure measures correlated with rates of change in the PSP Rating Scale. Rate of change in the FOIS correlated with rates of change in OTSS and lingual pressure. Rates of brain atrophy were associated with baseline OTSS, PTSS, and PAS.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Dysphagia and lingual pressure worsen over time in PSP, with variability in rates of change in the OTSS across PSP variants and evidence that dysphagia is related to rates of atrophy.</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41" w:tgtFrame="_blank" w:history="1">
        <w:r w:rsidRPr="0050212E">
          <w:rPr>
            <w:rFonts w:ascii="Roboto" w:eastAsia="Times New Roman" w:hAnsi="Roboto" w:cs="Times New Roman"/>
            <w:color w:val="0066CC"/>
            <w:sz w:val="21"/>
            <w:szCs w:val="21"/>
            <w:lang w:eastAsia="en-GB"/>
          </w:rPr>
          <w:t>https://libkey.io/10.1002/mdc3.70584</w:t>
        </w:r>
      </w:hyperlink>
    </w:p>
    <w:p w14:paraId="3B95FB19" w14:textId="6C9426D2"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2. </w:t>
      </w:r>
      <w:r w:rsidRPr="0050212E">
        <w:rPr>
          <w:rFonts w:ascii="Roboto" w:eastAsia="Times New Roman" w:hAnsi="Roboto" w:cs="Times New Roman"/>
          <w:b/>
          <w:bCs/>
          <w:color w:val="000000"/>
          <w:sz w:val="21"/>
          <w:szCs w:val="21"/>
          <w:lang w:eastAsia="en-GB"/>
        </w:rPr>
        <w:t xml:space="preserve">Diagnostic accuracy of the </w:t>
      </w:r>
      <w:proofErr w:type="spellStart"/>
      <w:r w:rsidRPr="0050212E">
        <w:rPr>
          <w:rFonts w:ascii="Roboto" w:eastAsia="Times New Roman" w:hAnsi="Roboto" w:cs="Times New Roman"/>
          <w:b/>
          <w:bCs/>
          <w:color w:val="000000"/>
          <w:sz w:val="21"/>
          <w:szCs w:val="21"/>
          <w:lang w:eastAsia="en-GB"/>
        </w:rPr>
        <w:t>Gugging</w:t>
      </w:r>
      <w:proofErr w:type="spellEnd"/>
      <w:r w:rsidRPr="0050212E">
        <w:rPr>
          <w:rFonts w:ascii="Roboto" w:eastAsia="Times New Roman" w:hAnsi="Roboto" w:cs="Times New Roman"/>
          <w:b/>
          <w:bCs/>
          <w:color w:val="000000"/>
          <w:sz w:val="21"/>
          <w:szCs w:val="21"/>
          <w:lang w:eastAsia="en-GB"/>
        </w:rPr>
        <w:t xml:space="preserve"> Swallowing Screen and exploratory submental ultrasonographic findings in dysphagia screening for Parkinson disease: a retrospective cross-sectional study using </w:t>
      </w:r>
      <w:proofErr w:type="spellStart"/>
      <w:r w:rsidRPr="0050212E">
        <w:rPr>
          <w:rFonts w:ascii="Roboto" w:eastAsia="Times New Roman" w:hAnsi="Roboto" w:cs="Times New Roman"/>
          <w:b/>
          <w:bCs/>
          <w:color w:val="000000"/>
          <w:sz w:val="21"/>
          <w:szCs w:val="21"/>
          <w:lang w:eastAsia="en-GB"/>
        </w:rPr>
        <w:t>videofluoroscopy</w:t>
      </w:r>
      <w:proofErr w:type="spellEnd"/>
      <w:r w:rsidRPr="0050212E">
        <w:rPr>
          <w:rFonts w:ascii="Roboto" w:eastAsia="Times New Roman" w:hAnsi="Roboto" w:cs="Times New Roman"/>
          <w:b/>
          <w:bCs/>
          <w:color w:val="000000"/>
          <w:sz w:val="21"/>
          <w:szCs w:val="21"/>
          <w:lang w:eastAsia="en-GB"/>
        </w:rPr>
        <w:t xml:space="preserve"> as reference standard.</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DI Censo, </w:t>
      </w:r>
      <w:proofErr w:type="spellStart"/>
      <w:r w:rsidRPr="0050212E">
        <w:rPr>
          <w:rFonts w:ascii="Roboto" w:eastAsia="Times New Roman" w:hAnsi="Roboto" w:cs="Times New Roman"/>
          <w:color w:val="000000"/>
          <w:sz w:val="21"/>
          <w:szCs w:val="21"/>
          <w:lang w:eastAsia="en-GB"/>
        </w:rPr>
        <w:t>Rita;Filippetti</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Mirko;Zadra</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Alessandro;Businaro</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Valentina;Guarise</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Riccardo;Ottaviani</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Sarah;Bonetti</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Bruno;Schweiger</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Vittorio;Smania</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Nicola;Varalta</w:t>
      </w:r>
      <w:proofErr w:type="spellEnd"/>
      <w:r w:rsidRPr="0050212E">
        <w:rPr>
          <w:rFonts w:ascii="Roboto" w:eastAsia="Times New Roman" w:hAnsi="Roboto" w:cs="Times New Roman"/>
          <w:color w:val="000000"/>
          <w:sz w:val="21"/>
          <w:szCs w:val="21"/>
          <w:lang w:eastAsia="en-GB"/>
        </w:rPr>
        <w:t xml:space="preserve">, Valentina and </w:t>
      </w:r>
      <w:proofErr w:type="spellStart"/>
      <w:r w:rsidRPr="0050212E">
        <w:rPr>
          <w:rFonts w:ascii="Roboto" w:eastAsia="Times New Roman" w:hAnsi="Roboto" w:cs="Times New Roman"/>
          <w:color w:val="000000"/>
          <w:sz w:val="21"/>
          <w:szCs w:val="21"/>
          <w:lang w:eastAsia="en-GB"/>
        </w:rPr>
        <w:t>Picelli</w:t>
      </w:r>
      <w:proofErr w:type="spellEnd"/>
      <w:r w:rsidRPr="0050212E">
        <w:rPr>
          <w:rFonts w:ascii="Roboto" w:eastAsia="Times New Roman" w:hAnsi="Roboto" w:cs="Times New Roman"/>
          <w:color w:val="000000"/>
          <w:sz w:val="21"/>
          <w:szCs w:val="21"/>
          <w:lang w:eastAsia="en-GB"/>
        </w:rPr>
        <w:t>, Alessandro</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Minerva Medica</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BACKGROUND</w:t>
      </w:r>
      <w:r w:rsidRPr="0050212E">
        <w:rPr>
          <w:rFonts w:ascii="Roboto" w:eastAsia="Times New Roman" w:hAnsi="Roboto" w:cs="Times New Roman"/>
          <w:color w:val="000000"/>
          <w:sz w:val="21"/>
          <w:szCs w:val="21"/>
          <w:lang w:eastAsia="en-GB"/>
        </w:rPr>
        <w:t>: Oropharyngeal dysphagia is common in Parkinson's disease, but it may remain clinically silent until complications occur. Bedside screening is widely used in routine care, although its diagnostic accuracy remains uncertain. Submental ultrasonography has emerged as a non-invasive adjunct for bedside assessment of swallowing-related structures and movement. </w:t>
      </w:r>
      <w:r w:rsidRPr="0050212E">
        <w:rPr>
          <w:rFonts w:ascii="Roboto" w:eastAsia="Times New Roman" w:hAnsi="Roboto" w:cs="Times New Roman"/>
          <w:b/>
          <w:bCs/>
          <w:color w:val="000000"/>
          <w:sz w:val="21"/>
          <w:szCs w:val="21"/>
          <w:lang w:eastAsia="en-GB"/>
        </w:rPr>
        <w:t>METHODS</w:t>
      </w:r>
      <w:r w:rsidRPr="0050212E">
        <w:rPr>
          <w:rFonts w:ascii="Roboto" w:eastAsia="Times New Roman" w:hAnsi="Roboto" w:cs="Times New Roman"/>
          <w:color w:val="000000"/>
          <w:sz w:val="21"/>
          <w:szCs w:val="21"/>
          <w:lang w:eastAsia="en-GB"/>
        </w:rPr>
        <w:t xml:space="preserve">: In this retrospective cross-sectional study, institutional records of adults with Parkinson's disease assessed between October 2021 and June 2023 were </w:t>
      </w:r>
      <w:proofErr w:type="spellStart"/>
      <w:r w:rsidRPr="0050212E">
        <w:rPr>
          <w:rFonts w:ascii="Roboto" w:eastAsia="Times New Roman" w:hAnsi="Roboto" w:cs="Times New Roman"/>
          <w:color w:val="000000"/>
          <w:sz w:val="21"/>
          <w:szCs w:val="21"/>
          <w:lang w:eastAsia="en-GB"/>
        </w:rPr>
        <w:t>analyzed</w:t>
      </w:r>
      <w:proofErr w:type="spellEnd"/>
      <w:r w:rsidRPr="0050212E">
        <w:rPr>
          <w:rFonts w:ascii="Roboto" w:eastAsia="Times New Roman" w:hAnsi="Roboto" w:cs="Times New Roman"/>
          <w:color w:val="000000"/>
          <w:sz w:val="21"/>
          <w:szCs w:val="21"/>
          <w:lang w:eastAsia="en-GB"/>
        </w:rPr>
        <w:t xml:space="preserve">. Bedside swallowing screening was performed with the </w:t>
      </w:r>
      <w:proofErr w:type="spellStart"/>
      <w:r w:rsidRPr="0050212E">
        <w:rPr>
          <w:rFonts w:ascii="Roboto" w:eastAsia="Times New Roman" w:hAnsi="Roboto" w:cs="Times New Roman"/>
          <w:color w:val="000000"/>
          <w:sz w:val="21"/>
          <w:szCs w:val="21"/>
          <w:lang w:eastAsia="en-GB"/>
        </w:rPr>
        <w:t>Gugging</w:t>
      </w:r>
      <w:proofErr w:type="spellEnd"/>
      <w:r w:rsidRPr="0050212E">
        <w:rPr>
          <w:rFonts w:ascii="Roboto" w:eastAsia="Times New Roman" w:hAnsi="Roboto" w:cs="Times New Roman"/>
          <w:color w:val="000000"/>
          <w:sz w:val="21"/>
          <w:szCs w:val="21"/>
          <w:lang w:eastAsia="en-GB"/>
        </w:rPr>
        <w:t xml:space="preserve"> Swallowing Screen. Submental ultrasonography was used to measure tongue thickness and hyoid-thyroid approximation during swallowing. </w:t>
      </w:r>
      <w:proofErr w:type="spellStart"/>
      <w:r w:rsidRPr="0050212E">
        <w:rPr>
          <w:rFonts w:ascii="Roboto" w:eastAsia="Times New Roman" w:hAnsi="Roboto" w:cs="Times New Roman"/>
          <w:color w:val="000000"/>
          <w:sz w:val="21"/>
          <w:szCs w:val="21"/>
          <w:lang w:eastAsia="en-GB"/>
        </w:rPr>
        <w:t>Videofluoroscopic</w:t>
      </w:r>
      <w:proofErr w:type="spellEnd"/>
      <w:r w:rsidRPr="0050212E">
        <w:rPr>
          <w:rFonts w:ascii="Roboto" w:eastAsia="Times New Roman" w:hAnsi="Roboto" w:cs="Times New Roman"/>
          <w:color w:val="000000"/>
          <w:sz w:val="21"/>
          <w:szCs w:val="21"/>
          <w:lang w:eastAsia="en-GB"/>
        </w:rPr>
        <w:t xml:space="preserve"> swallowing study served as the reference standard. Swallowing safety was classified as safe or unsafe according to the Penetration-Aspiration Scale, with unsafe swallowing defined as a score of 3-8. The primary outcome was the diagnostic performance of the </w:t>
      </w:r>
      <w:proofErr w:type="spellStart"/>
      <w:r w:rsidRPr="0050212E">
        <w:rPr>
          <w:rFonts w:ascii="Roboto" w:eastAsia="Times New Roman" w:hAnsi="Roboto" w:cs="Times New Roman"/>
          <w:color w:val="000000"/>
          <w:sz w:val="21"/>
          <w:szCs w:val="21"/>
          <w:lang w:eastAsia="en-GB"/>
        </w:rPr>
        <w:t>Gugging</w:t>
      </w:r>
      <w:proofErr w:type="spellEnd"/>
      <w:r w:rsidRPr="0050212E">
        <w:rPr>
          <w:rFonts w:ascii="Roboto" w:eastAsia="Times New Roman" w:hAnsi="Roboto" w:cs="Times New Roman"/>
          <w:color w:val="000000"/>
          <w:sz w:val="21"/>
          <w:szCs w:val="21"/>
          <w:lang w:eastAsia="en-GB"/>
        </w:rPr>
        <w:t xml:space="preserve"> Swallowing Screen for identifying unsafe swallowing on </w:t>
      </w:r>
      <w:proofErr w:type="spellStart"/>
      <w:r w:rsidRPr="0050212E">
        <w:rPr>
          <w:rFonts w:ascii="Roboto" w:eastAsia="Times New Roman" w:hAnsi="Roboto" w:cs="Times New Roman"/>
          <w:color w:val="000000"/>
          <w:sz w:val="21"/>
          <w:szCs w:val="21"/>
          <w:lang w:eastAsia="en-GB"/>
        </w:rPr>
        <w:t>videofluoroscopic</w:t>
      </w:r>
      <w:proofErr w:type="spellEnd"/>
      <w:r w:rsidRPr="0050212E">
        <w:rPr>
          <w:rFonts w:ascii="Roboto" w:eastAsia="Times New Roman" w:hAnsi="Roboto" w:cs="Times New Roman"/>
          <w:color w:val="000000"/>
          <w:sz w:val="21"/>
          <w:szCs w:val="21"/>
          <w:lang w:eastAsia="en-GB"/>
        </w:rPr>
        <w:t xml:space="preserve"> swallowing study.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xml:space="preserve">: Thirty-nine participants were enrolled, and 36 completed </w:t>
      </w:r>
      <w:proofErr w:type="spellStart"/>
      <w:r w:rsidRPr="0050212E">
        <w:rPr>
          <w:rFonts w:ascii="Roboto" w:eastAsia="Times New Roman" w:hAnsi="Roboto" w:cs="Times New Roman"/>
          <w:color w:val="000000"/>
          <w:sz w:val="21"/>
          <w:szCs w:val="21"/>
          <w:lang w:eastAsia="en-GB"/>
        </w:rPr>
        <w:t>videofluoroscopic</w:t>
      </w:r>
      <w:proofErr w:type="spellEnd"/>
      <w:r w:rsidRPr="0050212E">
        <w:rPr>
          <w:rFonts w:ascii="Roboto" w:eastAsia="Times New Roman" w:hAnsi="Roboto" w:cs="Times New Roman"/>
          <w:color w:val="000000"/>
          <w:sz w:val="21"/>
          <w:szCs w:val="21"/>
          <w:lang w:eastAsia="en-GB"/>
        </w:rPr>
        <w:t xml:space="preserve"> swallowing study. A positive </w:t>
      </w:r>
      <w:proofErr w:type="spellStart"/>
      <w:r w:rsidRPr="0050212E">
        <w:rPr>
          <w:rFonts w:ascii="Roboto" w:eastAsia="Times New Roman" w:hAnsi="Roboto" w:cs="Times New Roman"/>
          <w:color w:val="000000"/>
          <w:sz w:val="21"/>
          <w:szCs w:val="21"/>
          <w:lang w:eastAsia="en-GB"/>
        </w:rPr>
        <w:t>Gugging</w:t>
      </w:r>
      <w:proofErr w:type="spellEnd"/>
      <w:r w:rsidRPr="0050212E">
        <w:rPr>
          <w:rFonts w:ascii="Roboto" w:eastAsia="Times New Roman" w:hAnsi="Roboto" w:cs="Times New Roman"/>
          <w:color w:val="000000"/>
          <w:sz w:val="21"/>
          <w:szCs w:val="21"/>
          <w:lang w:eastAsia="en-GB"/>
        </w:rPr>
        <w:t xml:space="preserve"> Swallowing Screen result was observed in 7 of 36 participants, corresponding to 19.4%, whereas unsafe swallowing on </w:t>
      </w:r>
      <w:proofErr w:type="spellStart"/>
      <w:r w:rsidRPr="0050212E">
        <w:rPr>
          <w:rFonts w:ascii="Roboto" w:eastAsia="Times New Roman" w:hAnsi="Roboto" w:cs="Times New Roman"/>
          <w:color w:val="000000"/>
          <w:sz w:val="21"/>
          <w:szCs w:val="21"/>
          <w:lang w:eastAsia="en-GB"/>
        </w:rPr>
        <w:t>videofluoroscopic</w:t>
      </w:r>
      <w:proofErr w:type="spellEnd"/>
      <w:r w:rsidRPr="0050212E">
        <w:rPr>
          <w:rFonts w:ascii="Roboto" w:eastAsia="Times New Roman" w:hAnsi="Roboto" w:cs="Times New Roman"/>
          <w:color w:val="000000"/>
          <w:sz w:val="21"/>
          <w:szCs w:val="21"/>
          <w:lang w:eastAsia="en-GB"/>
        </w:rPr>
        <w:t xml:space="preserve"> swallowing study was observed in 12 of 36 participants, corresponding to 33.3%. The </w:t>
      </w:r>
      <w:proofErr w:type="spellStart"/>
      <w:r w:rsidRPr="0050212E">
        <w:rPr>
          <w:rFonts w:ascii="Roboto" w:eastAsia="Times New Roman" w:hAnsi="Roboto" w:cs="Times New Roman"/>
          <w:color w:val="000000"/>
          <w:sz w:val="21"/>
          <w:szCs w:val="21"/>
          <w:lang w:eastAsia="en-GB"/>
        </w:rPr>
        <w:t>Gugging</w:t>
      </w:r>
      <w:proofErr w:type="spellEnd"/>
      <w:r w:rsidRPr="0050212E">
        <w:rPr>
          <w:rFonts w:ascii="Roboto" w:eastAsia="Times New Roman" w:hAnsi="Roboto" w:cs="Times New Roman"/>
          <w:color w:val="000000"/>
          <w:sz w:val="21"/>
          <w:szCs w:val="21"/>
          <w:lang w:eastAsia="en-GB"/>
        </w:rPr>
        <w:t xml:space="preserve"> Swallowing Screen showed moderate discriminative ability, with an area under the curve of 0.792. Sensitivity was 58.3%, specificity was 100%, overall accuracy was 86.1%, positive predictive value was 100%, and negative predictive value was 82.8%. Participants with unsafe swallowing had lower tongue thickness and shorter resting and minimum hyoid-thyroid distances.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xml:space="preserve">: In Parkinson's disease, the </w:t>
      </w:r>
      <w:proofErr w:type="spellStart"/>
      <w:r w:rsidRPr="0050212E">
        <w:rPr>
          <w:rFonts w:ascii="Roboto" w:eastAsia="Times New Roman" w:hAnsi="Roboto" w:cs="Times New Roman"/>
          <w:color w:val="000000"/>
          <w:sz w:val="21"/>
          <w:szCs w:val="21"/>
          <w:lang w:eastAsia="en-GB"/>
        </w:rPr>
        <w:t>Gugging</w:t>
      </w:r>
      <w:proofErr w:type="spellEnd"/>
      <w:r w:rsidRPr="0050212E">
        <w:rPr>
          <w:rFonts w:ascii="Roboto" w:eastAsia="Times New Roman" w:hAnsi="Roboto" w:cs="Times New Roman"/>
          <w:color w:val="000000"/>
          <w:sz w:val="21"/>
          <w:szCs w:val="21"/>
          <w:lang w:eastAsia="en-GB"/>
        </w:rPr>
        <w:t xml:space="preserve"> Swallowing Screen may help prioritize referral for instrumental assessment, particularly when abnormal, but it cannot reliably exclude unsafe swallowing when used in isolation. Submental ultrasonographic measures differed between </w:t>
      </w:r>
      <w:proofErr w:type="spellStart"/>
      <w:r w:rsidRPr="0050212E">
        <w:rPr>
          <w:rFonts w:ascii="Roboto" w:eastAsia="Times New Roman" w:hAnsi="Roboto" w:cs="Times New Roman"/>
          <w:color w:val="000000"/>
          <w:sz w:val="21"/>
          <w:szCs w:val="21"/>
          <w:lang w:eastAsia="en-GB"/>
        </w:rPr>
        <w:t>videofluoroscopy</w:t>
      </w:r>
      <w:proofErr w:type="spellEnd"/>
      <w:r w:rsidRPr="0050212E">
        <w:rPr>
          <w:rFonts w:ascii="Roboto" w:eastAsia="Times New Roman" w:hAnsi="Roboto" w:cs="Times New Roman"/>
          <w:color w:val="000000"/>
          <w:sz w:val="21"/>
          <w:szCs w:val="21"/>
          <w:lang w:eastAsia="en-GB"/>
        </w:rPr>
        <w:t xml:space="preserve">-defined swallowing-safety groups; however, their diagnostic utility, optimal cut-offs, and incremental value over the </w:t>
      </w:r>
      <w:proofErr w:type="spellStart"/>
      <w:r w:rsidRPr="0050212E">
        <w:rPr>
          <w:rFonts w:ascii="Roboto" w:eastAsia="Times New Roman" w:hAnsi="Roboto" w:cs="Times New Roman"/>
          <w:color w:val="000000"/>
          <w:sz w:val="21"/>
          <w:szCs w:val="21"/>
          <w:lang w:eastAsia="en-GB"/>
        </w:rPr>
        <w:t>Gugging</w:t>
      </w:r>
      <w:proofErr w:type="spellEnd"/>
      <w:r w:rsidRPr="0050212E">
        <w:rPr>
          <w:rFonts w:ascii="Roboto" w:eastAsia="Times New Roman" w:hAnsi="Roboto" w:cs="Times New Roman"/>
          <w:color w:val="000000"/>
          <w:sz w:val="21"/>
          <w:szCs w:val="21"/>
          <w:lang w:eastAsia="en-GB"/>
        </w:rPr>
        <w:t xml:space="preserve"> Swallowing Screen require prospective validation.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lastRenderedPageBreak/>
        <w:br/>
      </w:r>
      <w:r w:rsidRPr="0050212E">
        <w:rPr>
          <w:rFonts w:ascii="Roboto" w:eastAsia="Times New Roman" w:hAnsi="Roboto" w:cs="Times New Roman"/>
          <w:b/>
          <w:bCs/>
          <w:color w:val="000000"/>
          <w:sz w:val="21"/>
          <w:szCs w:val="21"/>
          <w:lang w:eastAsia="en-GB"/>
        </w:rPr>
        <w:t>Access or request full text: </w:t>
      </w:r>
      <w:hyperlink r:id="rId42" w:tgtFrame="_blank" w:history="1">
        <w:r w:rsidRPr="0050212E">
          <w:rPr>
            <w:rFonts w:ascii="Roboto" w:eastAsia="Times New Roman" w:hAnsi="Roboto" w:cs="Times New Roman"/>
            <w:color w:val="0066CC"/>
            <w:sz w:val="21"/>
            <w:szCs w:val="21"/>
            <w:lang w:eastAsia="en-GB"/>
          </w:rPr>
          <w:t>https://libkey.io/10.23736/S0026-4806.26.09915-5</w:t>
        </w:r>
      </w:hyperlink>
    </w:p>
    <w:p w14:paraId="03CEC201" w14:textId="5FB63821" w:rsidR="0050212E" w:rsidRPr="0050212E" w:rsidRDefault="0050212E" w:rsidP="0050212E">
      <w:pPr>
        <w:shd w:val="clear" w:color="auto" w:fill="FFFFFF"/>
        <w:spacing w:after="173"/>
        <w:ind w:left="450" w:hanging="450"/>
        <w:rPr>
          <w:rFonts w:ascii="Roboto" w:eastAsia="Times New Roman" w:hAnsi="Roboto" w:cs="Times New Roman"/>
          <w:color w:val="000000"/>
          <w:sz w:val="21"/>
          <w:szCs w:val="21"/>
          <w:lang w:eastAsia="en-GB"/>
        </w:rPr>
      </w:pPr>
      <w:r w:rsidRPr="0050212E">
        <w:rPr>
          <w:rFonts w:ascii="Roboto" w:eastAsia="Times New Roman" w:hAnsi="Roboto" w:cs="Times New Roman"/>
          <w:color w:val="000000"/>
          <w:sz w:val="21"/>
          <w:szCs w:val="21"/>
          <w:lang w:eastAsia="en-GB"/>
        </w:rPr>
        <w:t>3. </w:t>
      </w:r>
      <w:r w:rsidRPr="0050212E">
        <w:rPr>
          <w:rFonts w:ascii="Roboto" w:eastAsia="Times New Roman" w:hAnsi="Roboto" w:cs="Times New Roman"/>
          <w:b/>
          <w:bCs/>
          <w:color w:val="000000"/>
          <w:sz w:val="21"/>
          <w:szCs w:val="21"/>
          <w:lang w:eastAsia="en-GB"/>
        </w:rPr>
        <w:t>Associations Between Ultrasonographic Hyoid Motion Parameters and Penetration, Aspiration, and Pharyngeal Residue Across International Dysphagia Diet Standardisation Initiative Food Textures.</w:t>
      </w:r>
      <w:r w:rsidRPr="0050212E">
        <w:rPr>
          <w:rFonts w:ascii="Roboto" w:eastAsia="Times New Roman" w:hAnsi="Roboto" w:cs="Times New Roman"/>
          <w:b/>
          <w:bCs/>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Authors:</w:t>
      </w:r>
      <w:r w:rsidRPr="0050212E">
        <w:rPr>
          <w:rFonts w:ascii="Roboto" w:eastAsia="Times New Roman" w:hAnsi="Roboto" w:cs="Times New Roman"/>
          <w:color w:val="000000"/>
          <w:sz w:val="21"/>
          <w:szCs w:val="21"/>
          <w:lang w:eastAsia="en-GB"/>
        </w:rPr>
        <w:t xml:space="preserve"> Yang, </w:t>
      </w:r>
      <w:proofErr w:type="spellStart"/>
      <w:r w:rsidRPr="0050212E">
        <w:rPr>
          <w:rFonts w:ascii="Roboto" w:eastAsia="Times New Roman" w:hAnsi="Roboto" w:cs="Times New Roman"/>
          <w:color w:val="000000"/>
          <w:sz w:val="21"/>
          <w:szCs w:val="21"/>
          <w:lang w:eastAsia="en-GB"/>
        </w:rPr>
        <w:t>Shu-Mei;Lai</w:t>
      </w:r>
      <w:proofErr w:type="spellEnd"/>
      <w:r w:rsidRPr="0050212E">
        <w:rPr>
          <w:rFonts w:ascii="Roboto" w:eastAsia="Times New Roman" w:hAnsi="Roboto" w:cs="Times New Roman"/>
          <w:color w:val="000000"/>
          <w:sz w:val="21"/>
          <w:szCs w:val="21"/>
          <w:lang w:eastAsia="en-GB"/>
        </w:rPr>
        <w:t xml:space="preserve">, </w:t>
      </w:r>
      <w:proofErr w:type="spellStart"/>
      <w:r w:rsidRPr="0050212E">
        <w:rPr>
          <w:rFonts w:ascii="Roboto" w:eastAsia="Times New Roman" w:hAnsi="Roboto" w:cs="Times New Roman"/>
          <w:color w:val="000000"/>
          <w:sz w:val="21"/>
          <w:szCs w:val="21"/>
          <w:lang w:eastAsia="en-GB"/>
        </w:rPr>
        <w:t>Ting-Ju;Wang</w:t>
      </w:r>
      <w:proofErr w:type="spellEnd"/>
      <w:r w:rsidRPr="0050212E">
        <w:rPr>
          <w:rFonts w:ascii="Roboto" w:eastAsia="Times New Roman" w:hAnsi="Roboto" w:cs="Times New Roman"/>
          <w:color w:val="000000"/>
          <w:sz w:val="21"/>
          <w:szCs w:val="21"/>
          <w:lang w:eastAsia="en-GB"/>
        </w:rPr>
        <w:t>, Tyng-Guey and Hsiao, Ming-Yen</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Publication Date: </w:t>
      </w:r>
      <w:r w:rsidRPr="0050212E">
        <w:rPr>
          <w:rFonts w:ascii="Roboto" w:eastAsia="Times New Roman" w:hAnsi="Roboto" w:cs="Times New Roman"/>
          <w:color w:val="000000"/>
          <w:sz w:val="21"/>
          <w:szCs w:val="21"/>
          <w:lang w:eastAsia="en-GB"/>
        </w:rPr>
        <w:t>Jun 18 ,2026</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Journal: </w:t>
      </w:r>
      <w:r w:rsidRPr="0050212E">
        <w:rPr>
          <w:rFonts w:ascii="Roboto" w:eastAsia="Times New Roman" w:hAnsi="Roboto" w:cs="Times New Roman"/>
          <w:color w:val="000000"/>
          <w:sz w:val="21"/>
          <w:szCs w:val="21"/>
          <w:lang w:eastAsia="en-GB"/>
        </w:rPr>
        <w:t>Journal of Speech Language &amp; Hearing Research 1-13</w:t>
      </w:r>
      <w:r w:rsidR="00C66B7D">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Abstract: PURPOSE</w:t>
      </w:r>
      <w:r w:rsidRPr="0050212E">
        <w:rPr>
          <w:rFonts w:ascii="Roboto" w:eastAsia="Times New Roman" w:hAnsi="Roboto" w:cs="Times New Roman"/>
          <w:color w:val="000000"/>
          <w:sz w:val="21"/>
          <w:szCs w:val="21"/>
          <w:lang w:eastAsia="en-GB"/>
        </w:rPr>
        <w:t>: The clinical swallow examination, including palpation of hyo-laryngeal motion, is an important screening technique for dysphagia. However, this method lacks objectivity and precision, and it cannot reliably quantify hyoid movement velocity, which may be more closely associated with the risk of penetration and aspiration. This prospective observational study aimed to evaluate the predictive value of ultrasonographic hyoid motion parameters for identifying penetration, aspiration, and pharyngeal residue across International Dysphagia Diet Standardisation Initiative (IDDSI) food textures. </w:t>
      </w:r>
      <w:r w:rsidRPr="0050212E">
        <w:rPr>
          <w:rFonts w:ascii="Roboto" w:eastAsia="Times New Roman" w:hAnsi="Roboto" w:cs="Times New Roman"/>
          <w:b/>
          <w:bCs/>
          <w:color w:val="000000"/>
          <w:sz w:val="21"/>
          <w:szCs w:val="21"/>
          <w:lang w:eastAsia="en-GB"/>
        </w:rPr>
        <w:t>METHOD</w:t>
      </w:r>
      <w:r w:rsidRPr="0050212E">
        <w:rPr>
          <w:rFonts w:ascii="Roboto" w:eastAsia="Times New Roman" w:hAnsi="Roboto" w:cs="Times New Roman"/>
          <w:color w:val="000000"/>
          <w:sz w:val="21"/>
          <w:szCs w:val="21"/>
          <w:lang w:eastAsia="en-GB"/>
        </w:rPr>
        <w:t xml:space="preserve">: Forty-seven adults with suspected oropharyngeal dysphagia underwent submental ultrasonography alongside either </w:t>
      </w:r>
      <w:proofErr w:type="spellStart"/>
      <w:r w:rsidRPr="0050212E">
        <w:rPr>
          <w:rFonts w:ascii="Roboto" w:eastAsia="Times New Roman" w:hAnsi="Roboto" w:cs="Times New Roman"/>
          <w:color w:val="000000"/>
          <w:sz w:val="21"/>
          <w:szCs w:val="21"/>
          <w:lang w:eastAsia="en-GB"/>
        </w:rPr>
        <w:t>videofluoroscopic</w:t>
      </w:r>
      <w:proofErr w:type="spellEnd"/>
      <w:r w:rsidRPr="0050212E">
        <w:rPr>
          <w:rFonts w:ascii="Roboto" w:eastAsia="Times New Roman" w:hAnsi="Roboto" w:cs="Times New Roman"/>
          <w:color w:val="000000"/>
          <w:sz w:val="21"/>
          <w:szCs w:val="21"/>
          <w:lang w:eastAsia="en-GB"/>
        </w:rPr>
        <w:t xml:space="preserve"> swallowing study or flexible endoscopic evaluation of swallowing. Six kinematic parameters, including hyoid displacement and velocity metrics, were measured and compared to instrumental swallowing outcomes. </w:t>
      </w:r>
      <w:r w:rsidRPr="0050212E">
        <w:rPr>
          <w:rFonts w:ascii="Roboto" w:eastAsia="Times New Roman" w:hAnsi="Roboto" w:cs="Times New Roman"/>
          <w:b/>
          <w:bCs/>
          <w:color w:val="000000"/>
          <w:sz w:val="21"/>
          <w:szCs w:val="21"/>
          <w:lang w:eastAsia="en-GB"/>
        </w:rPr>
        <w:t>RESULTS</w:t>
      </w:r>
      <w:r w:rsidRPr="0050212E">
        <w:rPr>
          <w:rFonts w:ascii="Roboto" w:eastAsia="Times New Roman" w:hAnsi="Roboto" w:cs="Times New Roman"/>
          <w:color w:val="000000"/>
          <w:sz w:val="21"/>
          <w:szCs w:val="21"/>
          <w:lang w:eastAsia="en-GB"/>
        </w:rPr>
        <w:t>: Penetration and aspiration were most prevalent with thin liquids (IDDSI Level 0, 57.4%). At this consistency, reduced maximal hyoid displacement was significantly associated with higher Penetration-Aspiration Scale scores (odds ratio [</w:t>
      </w:r>
      <w:r w:rsidRPr="0050212E">
        <w:rPr>
          <w:rFonts w:ascii="Roboto" w:eastAsia="Times New Roman" w:hAnsi="Roboto" w:cs="Times New Roman"/>
          <w:i/>
          <w:iCs/>
          <w:color w:val="000000"/>
          <w:sz w:val="21"/>
          <w:szCs w:val="21"/>
          <w:lang w:eastAsia="en-GB"/>
        </w:rPr>
        <w:t>OR</w:t>
      </w:r>
      <w:r w:rsidRPr="0050212E">
        <w:rPr>
          <w:rFonts w:ascii="Roboto" w:eastAsia="Times New Roman" w:hAnsi="Roboto" w:cs="Times New Roman"/>
          <w:color w:val="000000"/>
          <w:sz w:val="21"/>
          <w:szCs w:val="21"/>
          <w:lang w:eastAsia="en-GB"/>
        </w:rPr>
        <w:t>] = 0.75, </w:t>
      </w:r>
      <w:r w:rsidRPr="0050212E">
        <w:rPr>
          <w:rFonts w:ascii="Roboto" w:eastAsia="Times New Roman" w:hAnsi="Roboto" w:cs="Times New Roman"/>
          <w:i/>
          <w:iCs/>
          <w:color w:val="000000"/>
          <w:sz w:val="21"/>
          <w:szCs w:val="21"/>
          <w:lang w:eastAsia="en-GB"/>
        </w:rPr>
        <w:t>p</w:t>
      </w:r>
      <w:r w:rsidRPr="0050212E">
        <w:rPr>
          <w:rFonts w:ascii="Roboto" w:eastAsia="Times New Roman" w:hAnsi="Roboto" w:cs="Times New Roman"/>
          <w:color w:val="000000"/>
          <w:sz w:val="21"/>
          <w:szCs w:val="21"/>
          <w:lang w:eastAsia="en-GB"/>
        </w:rPr>
        <w:t> = .036). In contrast, in the present study, vallecular residue showed stronger associations with the velocity-based parameters examined. At IDDSI Level 2, lower average velocity of anterior hyoid bone excursion (HBE; </w:t>
      </w:r>
      <w:r w:rsidRPr="0050212E">
        <w:rPr>
          <w:rFonts w:ascii="Roboto" w:eastAsia="Times New Roman" w:hAnsi="Roboto" w:cs="Times New Roman"/>
          <w:i/>
          <w:iCs/>
          <w:color w:val="000000"/>
          <w:sz w:val="21"/>
          <w:szCs w:val="21"/>
          <w:lang w:eastAsia="en-GB"/>
        </w:rPr>
        <w:t>OR</w:t>
      </w:r>
      <w:r w:rsidRPr="0050212E">
        <w:rPr>
          <w:rFonts w:ascii="Roboto" w:eastAsia="Times New Roman" w:hAnsi="Roboto" w:cs="Times New Roman"/>
          <w:color w:val="000000"/>
          <w:sz w:val="21"/>
          <w:szCs w:val="21"/>
          <w:lang w:eastAsia="en-GB"/>
        </w:rPr>
        <w:t> = 0.18, </w:t>
      </w:r>
      <w:r w:rsidRPr="0050212E">
        <w:rPr>
          <w:rFonts w:ascii="Roboto" w:eastAsia="Times New Roman" w:hAnsi="Roboto" w:cs="Times New Roman"/>
          <w:i/>
          <w:iCs/>
          <w:color w:val="000000"/>
          <w:sz w:val="21"/>
          <w:szCs w:val="21"/>
          <w:lang w:eastAsia="en-GB"/>
        </w:rPr>
        <w:t>p</w:t>
      </w:r>
      <w:r w:rsidRPr="0050212E">
        <w:rPr>
          <w:rFonts w:ascii="Roboto" w:eastAsia="Times New Roman" w:hAnsi="Roboto" w:cs="Times New Roman"/>
          <w:color w:val="000000"/>
          <w:sz w:val="21"/>
          <w:szCs w:val="21"/>
          <w:lang w:eastAsia="en-GB"/>
        </w:rPr>
        <w:t> = .036) and lower average velocity of maximal HBE (</w:t>
      </w:r>
      <w:r w:rsidRPr="0050212E">
        <w:rPr>
          <w:rFonts w:ascii="Roboto" w:eastAsia="Times New Roman" w:hAnsi="Roboto" w:cs="Times New Roman"/>
          <w:i/>
          <w:iCs/>
          <w:color w:val="000000"/>
          <w:sz w:val="21"/>
          <w:szCs w:val="21"/>
          <w:lang w:eastAsia="en-GB"/>
        </w:rPr>
        <w:t>OR</w:t>
      </w:r>
      <w:r w:rsidRPr="0050212E">
        <w:rPr>
          <w:rFonts w:ascii="Roboto" w:eastAsia="Times New Roman" w:hAnsi="Roboto" w:cs="Times New Roman"/>
          <w:color w:val="000000"/>
          <w:sz w:val="21"/>
          <w:szCs w:val="21"/>
          <w:lang w:eastAsia="en-GB"/>
        </w:rPr>
        <w:t> = 0.24, </w:t>
      </w:r>
      <w:r w:rsidRPr="0050212E">
        <w:rPr>
          <w:rFonts w:ascii="Roboto" w:eastAsia="Times New Roman" w:hAnsi="Roboto" w:cs="Times New Roman"/>
          <w:i/>
          <w:iCs/>
          <w:color w:val="000000"/>
          <w:sz w:val="21"/>
          <w:szCs w:val="21"/>
          <w:lang w:eastAsia="en-GB"/>
        </w:rPr>
        <w:t>p</w:t>
      </w:r>
      <w:r w:rsidRPr="0050212E">
        <w:rPr>
          <w:rFonts w:ascii="Roboto" w:eastAsia="Times New Roman" w:hAnsi="Roboto" w:cs="Times New Roman"/>
          <w:color w:val="000000"/>
          <w:sz w:val="21"/>
          <w:szCs w:val="21"/>
          <w:lang w:eastAsia="en-GB"/>
        </w:rPr>
        <w:t> = .036) were associated with increased vallecular stasis severity. Similar associations were observed at Level 5, with area under the curve values up to .69. Pyriform sinus residue showed limited association with hyoid motion parameters. Receiver operating characteristic analysis and ordinal logistic regression demonstrated consistency-dependent associations between specific sonographic parameters and swallowing outcomes. </w:t>
      </w:r>
      <w:r w:rsidRPr="0050212E">
        <w:rPr>
          <w:rFonts w:ascii="Roboto" w:eastAsia="Times New Roman" w:hAnsi="Roboto" w:cs="Times New Roman"/>
          <w:b/>
          <w:bCs/>
          <w:color w:val="000000"/>
          <w:sz w:val="21"/>
          <w:szCs w:val="21"/>
          <w:lang w:eastAsia="en-GB"/>
        </w:rPr>
        <w:t>CONCLUSIONS</w:t>
      </w:r>
      <w:r w:rsidRPr="0050212E">
        <w:rPr>
          <w:rFonts w:ascii="Roboto" w:eastAsia="Times New Roman" w:hAnsi="Roboto" w:cs="Times New Roman"/>
          <w:color w:val="000000"/>
          <w:sz w:val="21"/>
          <w:szCs w:val="21"/>
          <w:lang w:eastAsia="en-GB"/>
        </w:rPr>
        <w:t xml:space="preserve">: Submental ultrasonography allows </w:t>
      </w:r>
      <w:proofErr w:type="spellStart"/>
      <w:r w:rsidRPr="0050212E">
        <w:rPr>
          <w:rFonts w:ascii="Roboto" w:eastAsia="Times New Roman" w:hAnsi="Roboto" w:cs="Times New Roman"/>
          <w:color w:val="000000"/>
          <w:sz w:val="21"/>
          <w:szCs w:val="21"/>
          <w:lang w:eastAsia="en-GB"/>
        </w:rPr>
        <w:t>noninvasive</w:t>
      </w:r>
      <w:proofErr w:type="spellEnd"/>
      <w:r w:rsidRPr="0050212E">
        <w:rPr>
          <w:rFonts w:ascii="Roboto" w:eastAsia="Times New Roman" w:hAnsi="Roboto" w:cs="Times New Roman"/>
          <w:color w:val="000000"/>
          <w:sz w:val="21"/>
          <w:szCs w:val="21"/>
          <w:lang w:eastAsia="en-GB"/>
        </w:rPr>
        <w:t xml:space="preserve"> quantification of hyoid motion during swallowing. Certain kinematic parameters demonstrated associations with airway invasion and vallecular residue at specific food consistencies. However, integration with complementary assessments remains essential for comprehensive evaluation. </w:t>
      </w:r>
      <w:r w:rsidRPr="0050212E">
        <w:rPr>
          <w:rFonts w:ascii="Roboto" w:eastAsia="Times New Roman" w:hAnsi="Roboto" w:cs="Times New Roman"/>
          <w:b/>
          <w:bCs/>
          <w:color w:val="000000"/>
          <w:sz w:val="21"/>
          <w:szCs w:val="21"/>
          <w:lang w:eastAsia="en-GB"/>
        </w:rPr>
        <w:t>SUPPLEMENTAL MATERIAL</w:t>
      </w:r>
      <w:r w:rsidRPr="0050212E">
        <w:rPr>
          <w:rFonts w:ascii="Roboto" w:eastAsia="Times New Roman" w:hAnsi="Roboto" w:cs="Times New Roman"/>
          <w:color w:val="000000"/>
          <w:sz w:val="21"/>
          <w:szCs w:val="21"/>
          <w:lang w:eastAsia="en-GB"/>
        </w:rPr>
        <w:t>: </w:t>
      </w:r>
      <w:hyperlink r:id="rId43" w:tgtFrame="_blank" w:history="1">
        <w:r w:rsidRPr="0050212E">
          <w:rPr>
            <w:rFonts w:ascii="Roboto" w:eastAsia="Times New Roman" w:hAnsi="Roboto" w:cs="Times New Roman"/>
            <w:color w:val="0066CC"/>
            <w:sz w:val="21"/>
            <w:szCs w:val="21"/>
            <w:lang w:eastAsia="en-GB"/>
          </w:rPr>
          <w:t>https://doi.org/10.23641/asha.32616798.</w:t>
        </w:r>
      </w:hyperlink>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b/>
          <w:bCs/>
          <w:color w:val="000000"/>
          <w:sz w:val="21"/>
          <w:szCs w:val="21"/>
          <w:lang w:eastAsia="en-GB"/>
        </w:rPr>
        <w:t>Access or request full text: </w:t>
      </w:r>
      <w:hyperlink r:id="rId44" w:tgtFrame="_blank" w:history="1">
        <w:r w:rsidRPr="0050212E">
          <w:rPr>
            <w:rFonts w:ascii="Roboto" w:eastAsia="Times New Roman" w:hAnsi="Roboto" w:cs="Times New Roman"/>
            <w:color w:val="0066CC"/>
            <w:sz w:val="21"/>
            <w:szCs w:val="21"/>
            <w:lang w:eastAsia="en-GB"/>
          </w:rPr>
          <w:t>https://libkey.io/10.1044/2026_JSLHR-25-00569</w:t>
        </w:r>
      </w:hyperlink>
    </w:p>
    <w:p w14:paraId="74FCEB17" w14:textId="7739794A" w:rsidR="003E7AE2" w:rsidRDefault="0050212E" w:rsidP="0050212E">
      <w:r w:rsidRPr="0050212E">
        <w:rPr>
          <w:rFonts w:ascii="Roboto" w:eastAsia="Times New Roman" w:hAnsi="Roboto" w:cs="Times New Roman"/>
          <w:i/>
          <w:iCs/>
          <w:color w:val="000000"/>
          <w:sz w:val="21"/>
          <w:szCs w:val="21"/>
          <w:shd w:val="clear" w:color="auto" w:fill="FFFFFF"/>
          <w:lang w:eastAsia="en-GB"/>
        </w:rPr>
        <w:t>You will need your </w:t>
      </w:r>
      <w:hyperlink r:id="rId45" w:history="1">
        <w:r w:rsidRPr="0050212E">
          <w:rPr>
            <w:rFonts w:ascii="Roboto" w:eastAsia="Times New Roman" w:hAnsi="Roboto" w:cs="Times New Roman"/>
            <w:i/>
            <w:iCs/>
            <w:color w:val="0066CC"/>
            <w:sz w:val="21"/>
            <w:szCs w:val="21"/>
            <w:lang w:eastAsia="en-GB"/>
          </w:rPr>
          <w:t>NHS OpenAthens account</w:t>
        </w:r>
      </w:hyperlink>
      <w:r w:rsidRPr="0050212E">
        <w:rPr>
          <w:rFonts w:ascii="Roboto" w:eastAsia="Times New Roman" w:hAnsi="Roboto" w:cs="Times New Roman"/>
          <w:i/>
          <w:iCs/>
          <w:color w:val="000000"/>
          <w:sz w:val="21"/>
          <w:szCs w:val="21"/>
          <w:shd w:val="clear" w:color="auto" w:fill="FFFFFF"/>
          <w:lang w:eastAsia="en-GB"/>
        </w:rPr>
        <w:t> to access the full text of licenced content.</w:t>
      </w:r>
      <w:r w:rsidRPr="0050212E">
        <w:rPr>
          <w:rFonts w:ascii="Roboto" w:eastAsia="Times New Roman" w:hAnsi="Roboto" w:cs="Times New Roman"/>
          <w:color w:val="000000"/>
          <w:sz w:val="21"/>
          <w:szCs w:val="21"/>
          <w:lang w:eastAsia="en-GB"/>
        </w:rPr>
        <w:br/>
      </w:r>
      <w:r w:rsidRPr="0050212E">
        <w:rPr>
          <w:rFonts w:ascii="Roboto" w:eastAsia="Times New Roman" w:hAnsi="Roboto" w:cs="Times New Roman"/>
          <w:i/>
          <w:iCs/>
          <w:color w:val="000000"/>
          <w:sz w:val="21"/>
          <w:szCs w:val="21"/>
          <w:shd w:val="clear" w:color="auto" w:fill="FFFFFF"/>
          <w:lang w:eastAsia="en-GB"/>
        </w:rPr>
        <w:t>This service is provided to the NHS in England by NHSE Workforce, Training &amp; Education.</w:t>
      </w:r>
    </w:p>
    <w:p w14:paraId="25D3CC3D" w14:textId="77777777" w:rsidR="003E7AE2" w:rsidRDefault="003E7AE2" w:rsidP="003E7AE2">
      <w:pPr>
        <w:pStyle w:val="Heading1"/>
      </w:pPr>
      <w:bookmarkStart w:id="4" w:name="_Toc236661551"/>
      <w:r>
        <w:t>FEES</w:t>
      </w:r>
      <w:bookmarkEnd w:id="4"/>
    </w:p>
    <w:p w14:paraId="3D0F0724" w14:textId="4DF6C16C" w:rsidR="00C66B7D" w:rsidRPr="00C66B7D" w:rsidRDefault="00C66B7D" w:rsidP="00C66B7D">
      <w:pPr>
        <w:shd w:val="clear" w:color="auto" w:fill="FFFFFF"/>
        <w:spacing w:after="173"/>
        <w:ind w:left="450" w:hanging="450"/>
        <w:rPr>
          <w:rFonts w:ascii="Roboto" w:eastAsia="Times New Roman" w:hAnsi="Roboto" w:cs="Times New Roman"/>
          <w:color w:val="000000"/>
          <w:sz w:val="21"/>
          <w:szCs w:val="21"/>
          <w:lang w:eastAsia="en-GB"/>
        </w:rPr>
      </w:pPr>
      <w:r w:rsidRPr="00C66B7D">
        <w:rPr>
          <w:rFonts w:ascii="Roboto" w:eastAsia="Times New Roman" w:hAnsi="Roboto" w:cs="Times New Roman"/>
          <w:color w:val="000000"/>
          <w:sz w:val="21"/>
          <w:szCs w:val="21"/>
          <w:lang w:eastAsia="en-GB"/>
        </w:rPr>
        <w:t>1. </w:t>
      </w:r>
      <w:r w:rsidRPr="00C66B7D">
        <w:rPr>
          <w:rFonts w:ascii="Roboto" w:eastAsia="Times New Roman" w:hAnsi="Roboto" w:cs="Times New Roman"/>
          <w:b/>
          <w:bCs/>
          <w:color w:val="000000"/>
          <w:sz w:val="21"/>
          <w:szCs w:val="21"/>
          <w:lang w:eastAsia="en-GB"/>
        </w:rPr>
        <w:t>Thin Liquid Sip Sizes in Outpatient Adults with Normal and Disordered Swallowing: Modifying Factors and Relationships with Swallowing Safety and Efficiency.</w:t>
      </w:r>
      <w:r w:rsidRPr="00C66B7D">
        <w:rPr>
          <w:rFonts w:ascii="Roboto" w:eastAsia="Times New Roman" w:hAnsi="Roboto" w:cs="Times New Roman"/>
          <w:b/>
          <w:bCs/>
          <w:color w:val="000000"/>
          <w:sz w:val="21"/>
          <w:szCs w:val="21"/>
          <w:lang w:eastAsia="en-GB"/>
        </w:rPr>
        <w:br/>
      </w:r>
      <w:r w:rsidRPr="00C66B7D">
        <w:rPr>
          <w:rFonts w:ascii="Roboto" w:eastAsia="Times New Roman" w:hAnsi="Roboto" w:cs="Times New Roman"/>
          <w:color w:val="000000"/>
          <w:sz w:val="21"/>
          <w:szCs w:val="21"/>
          <w:lang w:eastAsia="en-GB"/>
        </w:rPr>
        <w:br/>
      </w:r>
      <w:r w:rsidRPr="00C66B7D">
        <w:rPr>
          <w:rFonts w:ascii="Roboto" w:eastAsia="Times New Roman" w:hAnsi="Roboto" w:cs="Times New Roman"/>
          <w:b/>
          <w:bCs/>
          <w:color w:val="000000"/>
          <w:sz w:val="21"/>
          <w:szCs w:val="21"/>
          <w:lang w:eastAsia="en-GB"/>
        </w:rPr>
        <w:t>Authors:</w:t>
      </w:r>
      <w:r w:rsidRPr="00C66B7D">
        <w:rPr>
          <w:rFonts w:ascii="Roboto" w:eastAsia="Times New Roman" w:hAnsi="Roboto" w:cs="Times New Roman"/>
          <w:color w:val="000000"/>
          <w:sz w:val="21"/>
          <w:szCs w:val="21"/>
          <w:lang w:eastAsia="en-GB"/>
        </w:rPr>
        <w:t xml:space="preserve"> Curtis, James </w:t>
      </w:r>
      <w:proofErr w:type="spellStart"/>
      <w:r w:rsidRPr="00C66B7D">
        <w:rPr>
          <w:rFonts w:ascii="Roboto" w:eastAsia="Times New Roman" w:hAnsi="Roboto" w:cs="Times New Roman"/>
          <w:color w:val="000000"/>
          <w:sz w:val="21"/>
          <w:szCs w:val="21"/>
          <w:lang w:eastAsia="en-GB"/>
        </w:rPr>
        <w:t>A.;Jimenez</w:t>
      </w:r>
      <w:proofErr w:type="spellEnd"/>
      <w:r w:rsidRPr="00C66B7D">
        <w:rPr>
          <w:rFonts w:ascii="Roboto" w:eastAsia="Times New Roman" w:hAnsi="Roboto" w:cs="Times New Roman"/>
          <w:color w:val="000000"/>
          <w:sz w:val="21"/>
          <w:szCs w:val="21"/>
          <w:lang w:eastAsia="en-GB"/>
        </w:rPr>
        <w:t xml:space="preserve">, Leyla </w:t>
      </w:r>
      <w:proofErr w:type="spellStart"/>
      <w:r w:rsidRPr="00C66B7D">
        <w:rPr>
          <w:rFonts w:ascii="Roboto" w:eastAsia="Times New Roman" w:hAnsi="Roboto" w:cs="Times New Roman"/>
          <w:color w:val="000000"/>
          <w:sz w:val="21"/>
          <w:szCs w:val="21"/>
          <w:lang w:eastAsia="en-GB"/>
        </w:rPr>
        <w:t>E.;Aberin-Angulo</w:t>
      </w:r>
      <w:proofErr w:type="spellEnd"/>
      <w:r w:rsidRPr="00C66B7D">
        <w:rPr>
          <w:rFonts w:ascii="Roboto" w:eastAsia="Times New Roman" w:hAnsi="Roboto" w:cs="Times New Roman"/>
          <w:color w:val="000000"/>
          <w:sz w:val="21"/>
          <w:szCs w:val="21"/>
          <w:lang w:eastAsia="en-GB"/>
        </w:rPr>
        <w:t xml:space="preserve">, Isabel </w:t>
      </w:r>
      <w:proofErr w:type="spellStart"/>
      <w:r w:rsidRPr="00C66B7D">
        <w:rPr>
          <w:rFonts w:ascii="Roboto" w:eastAsia="Times New Roman" w:hAnsi="Roboto" w:cs="Times New Roman"/>
          <w:color w:val="000000"/>
          <w:sz w:val="21"/>
          <w:szCs w:val="21"/>
          <w:lang w:eastAsia="en-GB"/>
        </w:rPr>
        <w:t>M.;Clark</w:t>
      </w:r>
      <w:proofErr w:type="spellEnd"/>
      <w:r w:rsidRPr="00C66B7D">
        <w:rPr>
          <w:rFonts w:ascii="Roboto" w:eastAsia="Times New Roman" w:hAnsi="Roboto" w:cs="Times New Roman"/>
          <w:color w:val="000000"/>
          <w:sz w:val="21"/>
          <w:szCs w:val="21"/>
          <w:lang w:eastAsia="en-GB"/>
        </w:rPr>
        <w:t>, Christine M. and Mocchetti, Valentina</w:t>
      </w:r>
      <w:r w:rsidRPr="00C66B7D">
        <w:rPr>
          <w:rFonts w:ascii="Roboto" w:eastAsia="Times New Roman" w:hAnsi="Roboto" w:cs="Times New Roman"/>
          <w:color w:val="000000"/>
          <w:sz w:val="21"/>
          <w:szCs w:val="21"/>
          <w:lang w:eastAsia="en-GB"/>
        </w:rPr>
        <w:br/>
      </w:r>
      <w:r w:rsidRPr="00C66B7D">
        <w:rPr>
          <w:rFonts w:ascii="Roboto" w:eastAsia="Times New Roman" w:hAnsi="Roboto" w:cs="Times New Roman"/>
          <w:color w:val="000000"/>
          <w:sz w:val="21"/>
          <w:szCs w:val="21"/>
          <w:lang w:eastAsia="en-GB"/>
        </w:rPr>
        <w:br/>
      </w:r>
      <w:r w:rsidRPr="00C66B7D">
        <w:rPr>
          <w:rFonts w:ascii="Roboto" w:eastAsia="Times New Roman" w:hAnsi="Roboto" w:cs="Times New Roman"/>
          <w:b/>
          <w:bCs/>
          <w:color w:val="000000"/>
          <w:sz w:val="21"/>
          <w:szCs w:val="21"/>
          <w:lang w:eastAsia="en-GB"/>
        </w:rPr>
        <w:t>Publication Date: </w:t>
      </w:r>
      <w:r w:rsidRPr="00C66B7D">
        <w:rPr>
          <w:rFonts w:ascii="Roboto" w:eastAsia="Times New Roman" w:hAnsi="Roboto" w:cs="Times New Roman"/>
          <w:color w:val="000000"/>
          <w:sz w:val="21"/>
          <w:szCs w:val="21"/>
          <w:lang w:eastAsia="en-GB"/>
        </w:rPr>
        <w:t>May 28 ,2026</w:t>
      </w:r>
      <w:r w:rsidRPr="00C66B7D">
        <w:rPr>
          <w:rFonts w:ascii="Roboto" w:eastAsia="Times New Roman" w:hAnsi="Roboto" w:cs="Times New Roman"/>
          <w:color w:val="000000"/>
          <w:sz w:val="21"/>
          <w:szCs w:val="21"/>
          <w:lang w:eastAsia="en-GB"/>
        </w:rPr>
        <w:br/>
      </w:r>
      <w:r w:rsidRPr="00C66B7D">
        <w:rPr>
          <w:rFonts w:ascii="Roboto" w:eastAsia="Times New Roman" w:hAnsi="Roboto" w:cs="Times New Roman"/>
          <w:color w:val="000000"/>
          <w:sz w:val="21"/>
          <w:szCs w:val="21"/>
          <w:lang w:eastAsia="en-GB"/>
        </w:rPr>
        <w:lastRenderedPageBreak/>
        <w:br/>
      </w:r>
      <w:r w:rsidRPr="00C66B7D">
        <w:rPr>
          <w:rFonts w:ascii="Roboto" w:eastAsia="Times New Roman" w:hAnsi="Roboto" w:cs="Times New Roman"/>
          <w:b/>
          <w:bCs/>
          <w:color w:val="000000"/>
          <w:sz w:val="21"/>
          <w:szCs w:val="21"/>
          <w:lang w:eastAsia="en-GB"/>
        </w:rPr>
        <w:t>Journal: </w:t>
      </w:r>
      <w:r w:rsidRPr="00C66B7D">
        <w:rPr>
          <w:rFonts w:ascii="Roboto" w:eastAsia="Times New Roman" w:hAnsi="Roboto" w:cs="Times New Roman"/>
          <w:color w:val="000000"/>
          <w:sz w:val="21"/>
          <w:szCs w:val="21"/>
          <w:lang w:eastAsia="en-GB"/>
        </w:rPr>
        <w:t xml:space="preserve">Folia </w:t>
      </w:r>
      <w:proofErr w:type="spellStart"/>
      <w:r w:rsidRPr="00C66B7D">
        <w:rPr>
          <w:rFonts w:ascii="Roboto" w:eastAsia="Times New Roman" w:hAnsi="Roboto" w:cs="Times New Roman"/>
          <w:color w:val="000000"/>
          <w:sz w:val="21"/>
          <w:szCs w:val="21"/>
          <w:lang w:eastAsia="en-GB"/>
        </w:rPr>
        <w:t>Phoniatrica</w:t>
      </w:r>
      <w:proofErr w:type="spellEnd"/>
      <w:r w:rsidRPr="00C66B7D">
        <w:rPr>
          <w:rFonts w:ascii="Roboto" w:eastAsia="Times New Roman" w:hAnsi="Roboto" w:cs="Times New Roman"/>
          <w:color w:val="000000"/>
          <w:sz w:val="21"/>
          <w:szCs w:val="21"/>
          <w:lang w:eastAsia="en-GB"/>
        </w:rPr>
        <w:t xml:space="preserve"> Et </w:t>
      </w:r>
      <w:proofErr w:type="spellStart"/>
      <w:r w:rsidRPr="00C66B7D">
        <w:rPr>
          <w:rFonts w:ascii="Roboto" w:eastAsia="Times New Roman" w:hAnsi="Roboto" w:cs="Times New Roman"/>
          <w:color w:val="000000"/>
          <w:sz w:val="21"/>
          <w:szCs w:val="21"/>
          <w:lang w:eastAsia="en-GB"/>
        </w:rPr>
        <w:t>Logopedica</w:t>
      </w:r>
      <w:proofErr w:type="spellEnd"/>
      <w:r w:rsidRPr="00C66B7D">
        <w:rPr>
          <w:rFonts w:ascii="Roboto" w:eastAsia="Times New Roman" w:hAnsi="Roboto" w:cs="Times New Roman"/>
          <w:color w:val="000000"/>
          <w:sz w:val="21"/>
          <w:szCs w:val="21"/>
          <w:lang w:eastAsia="en-GB"/>
        </w:rPr>
        <w:t xml:space="preserve"> 1-15</w:t>
      </w:r>
      <w:r>
        <w:rPr>
          <w:rFonts w:ascii="Roboto" w:eastAsia="Times New Roman" w:hAnsi="Roboto" w:cs="Times New Roman"/>
          <w:color w:val="000000"/>
          <w:sz w:val="21"/>
          <w:szCs w:val="21"/>
          <w:lang w:eastAsia="en-GB"/>
        </w:rPr>
        <w:br/>
      </w:r>
      <w:r w:rsidRPr="00C66B7D">
        <w:rPr>
          <w:rFonts w:ascii="Roboto" w:eastAsia="Times New Roman" w:hAnsi="Roboto" w:cs="Times New Roman"/>
          <w:color w:val="000000"/>
          <w:sz w:val="21"/>
          <w:szCs w:val="21"/>
          <w:lang w:eastAsia="en-GB"/>
        </w:rPr>
        <w:br/>
      </w:r>
      <w:r w:rsidRPr="00C66B7D">
        <w:rPr>
          <w:rFonts w:ascii="Roboto" w:eastAsia="Times New Roman" w:hAnsi="Roboto" w:cs="Times New Roman"/>
          <w:b/>
          <w:bCs/>
          <w:color w:val="000000"/>
          <w:sz w:val="21"/>
          <w:szCs w:val="21"/>
          <w:lang w:eastAsia="en-GB"/>
        </w:rPr>
        <w:t>Abstract: INTRODUCTION</w:t>
      </w:r>
      <w:r w:rsidRPr="00C66B7D">
        <w:rPr>
          <w:rFonts w:ascii="Roboto" w:eastAsia="Times New Roman" w:hAnsi="Roboto" w:cs="Times New Roman"/>
          <w:color w:val="000000"/>
          <w:sz w:val="21"/>
          <w:szCs w:val="21"/>
          <w:lang w:eastAsia="en-GB"/>
        </w:rPr>
        <w:t>: Thin liquids are an important part of many swallowing assessment protocols, yet little is known about self-selected sip sizes in outpatient adults nor their relationship with functional swallowing outcomes. Therefore, this quality improvement study aimed to: (1) assess the influence of testing-specific factors on the size of self-selected sips in outpatient adults; (2) examine the relationships between self-selected sip sizes, patient characteristics, and degree of swallowing impairment; and (3) evaluate the relationship between the self-selected sip sizes, swallowing safety, and swallowing efficiency. </w:t>
      </w:r>
      <w:r w:rsidRPr="00C66B7D">
        <w:rPr>
          <w:rFonts w:ascii="Roboto" w:eastAsia="Times New Roman" w:hAnsi="Roboto" w:cs="Times New Roman"/>
          <w:b/>
          <w:bCs/>
          <w:color w:val="000000"/>
          <w:sz w:val="21"/>
          <w:szCs w:val="21"/>
          <w:lang w:eastAsia="en-GB"/>
        </w:rPr>
        <w:t>METHODS</w:t>
      </w:r>
      <w:r w:rsidRPr="00C66B7D">
        <w:rPr>
          <w:rFonts w:ascii="Roboto" w:eastAsia="Times New Roman" w:hAnsi="Roboto" w:cs="Times New Roman"/>
          <w:color w:val="000000"/>
          <w:sz w:val="21"/>
          <w:szCs w:val="21"/>
          <w:lang w:eastAsia="en-GB"/>
        </w:rPr>
        <w:t xml:space="preserve">: Consecutive outpatient adults being evaluated for known or suspected swallowing impairments completed randomized self-selected sips of thin liquids varying by cup size, fill level, liquid </w:t>
      </w:r>
      <w:proofErr w:type="spellStart"/>
      <w:r w:rsidRPr="00C66B7D">
        <w:rPr>
          <w:rFonts w:ascii="Roboto" w:eastAsia="Times New Roman" w:hAnsi="Roboto" w:cs="Times New Roman"/>
          <w:color w:val="000000"/>
          <w:sz w:val="21"/>
          <w:szCs w:val="21"/>
          <w:lang w:eastAsia="en-GB"/>
        </w:rPr>
        <w:t>color</w:t>
      </w:r>
      <w:proofErr w:type="spellEnd"/>
      <w:r w:rsidRPr="00C66B7D">
        <w:rPr>
          <w:rFonts w:ascii="Roboto" w:eastAsia="Times New Roman" w:hAnsi="Roboto" w:cs="Times New Roman"/>
          <w:color w:val="000000"/>
          <w:sz w:val="21"/>
          <w:szCs w:val="21"/>
          <w:lang w:eastAsia="en-GB"/>
        </w:rPr>
        <w:t>, liquid type, bolus delivery method, swallowing instruction, and endoscope presence. Self-selected sip sizes were measured for each trial. Multilevel statistical models were used to assess the relationships between self-selected sip size, testing conditions, patient characteristics, and pharyngeal residue, penetration, and aspiration as seen during flexible endoscopic evaluation of swallowing (FEES) and modified barium swallow studies (MBS). </w:t>
      </w:r>
      <w:r w:rsidRPr="00C66B7D">
        <w:rPr>
          <w:rFonts w:ascii="Roboto" w:eastAsia="Times New Roman" w:hAnsi="Roboto" w:cs="Times New Roman"/>
          <w:b/>
          <w:bCs/>
          <w:color w:val="000000"/>
          <w:sz w:val="21"/>
          <w:szCs w:val="21"/>
          <w:lang w:eastAsia="en-GB"/>
        </w:rPr>
        <w:t>RESULTS</w:t>
      </w:r>
      <w:r w:rsidRPr="00C66B7D">
        <w:rPr>
          <w:rFonts w:ascii="Roboto" w:eastAsia="Times New Roman" w:hAnsi="Roboto" w:cs="Times New Roman"/>
          <w:color w:val="000000"/>
          <w:sz w:val="21"/>
          <w:szCs w:val="21"/>
          <w:lang w:eastAsia="en-GB"/>
        </w:rPr>
        <w:t xml:space="preserve">: Seventy-four outpatient adults were recruited, yielding an analysis of 595 self-selected sip sizes. The median self-selected sip size was 24.0 mL during the most natural drinking condition. </w:t>
      </w:r>
      <w:proofErr w:type="spellStart"/>
      <w:r w:rsidRPr="00C66B7D">
        <w:rPr>
          <w:rFonts w:ascii="Roboto" w:eastAsia="Times New Roman" w:hAnsi="Roboto" w:cs="Times New Roman"/>
          <w:color w:val="000000"/>
          <w:sz w:val="21"/>
          <w:szCs w:val="21"/>
          <w:lang w:eastAsia="en-GB"/>
        </w:rPr>
        <w:t>Colored</w:t>
      </w:r>
      <w:proofErr w:type="spellEnd"/>
      <w:r w:rsidRPr="00C66B7D">
        <w:rPr>
          <w:rFonts w:ascii="Roboto" w:eastAsia="Times New Roman" w:hAnsi="Roboto" w:cs="Times New Roman"/>
          <w:color w:val="000000"/>
          <w:sz w:val="21"/>
          <w:szCs w:val="21"/>
          <w:lang w:eastAsia="en-GB"/>
        </w:rPr>
        <w:t xml:space="preserve"> liquids, smaller amount of liquid filling a cup, and straw use significantly decreased sip size, whereas </w:t>
      </w:r>
      <w:proofErr w:type="spellStart"/>
      <w:r w:rsidRPr="00C66B7D">
        <w:rPr>
          <w:rFonts w:ascii="Roboto" w:eastAsia="Times New Roman" w:hAnsi="Roboto" w:cs="Times New Roman"/>
          <w:color w:val="000000"/>
          <w:sz w:val="21"/>
          <w:szCs w:val="21"/>
          <w:lang w:eastAsia="en-GB"/>
        </w:rPr>
        <w:t>transnasal</w:t>
      </w:r>
      <w:proofErr w:type="spellEnd"/>
      <w:r w:rsidRPr="00C66B7D">
        <w:rPr>
          <w:rFonts w:ascii="Roboto" w:eastAsia="Times New Roman" w:hAnsi="Roboto" w:cs="Times New Roman"/>
          <w:color w:val="000000"/>
          <w:sz w:val="21"/>
          <w:szCs w:val="21"/>
          <w:lang w:eastAsia="en-GB"/>
        </w:rPr>
        <w:t xml:space="preserve"> endoscopy and barium significantly increased sip size (</w:t>
      </w:r>
      <w:proofErr w:type="gramStart"/>
      <w:r w:rsidRPr="00C66B7D">
        <w:rPr>
          <w:rFonts w:ascii="Roboto" w:eastAsia="Times New Roman" w:hAnsi="Roboto" w:cs="Times New Roman"/>
          <w:color w:val="000000"/>
          <w:sz w:val="21"/>
          <w:szCs w:val="21"/>
          <w:lang w:eastAsia="en-GB"/>
        </w:rPr>
        <w:t>p :</w:t>
      </w:r>
      <w:proofErr w:type="gramEnd"/>
      <w:r w:rsidRPr="00C66B7D">
        <w:rPr>
          <w:rFonts w:ascii="Roboto" w:eastAsia="Times New Roman" w:hAnsi="Roboto" w:cs="Times New Roman"/>
          <w:color w:val="000000"/>
          <w:sz w:val="21"/>
          <w:szCs w:val="21"/>
          <w:lang w:eastAsia="en-GB"/>
        </w:rPr>
        <w:t xml:space="preserve"> Seventy-four outpatient adults were recruited, yielding an analysis of 595 self-selected sip sizes. The median self-selected sip size was 24.0 mL during the most natural drinking condition. </w:t>
      </w:r>
      <w:proofErr w:type="spellStart"/>
      <w:r w:rsidRPr="00C66B7D">
        <w:rPr>
          <w:rFonts w:ascii="Roboto" w:eastAsia="Times New Roman" w:hAnsi="Roboto" w:cs="Times New Roman"/>
          <w:color w:val="000000"/>
          <w:sz w:val="21"/>
          <w:szCs w:val="21"/>
          <w:lang w:eastAsia="en-GB"/>
        </w:rPr>
        <w:t>Colored</w:t>
      </w:r>
      <w:proofErr w:type="spellEnd"/>
      <w:r w:rsidRPr="00C66B7D">
        <w:rPr>
          <w:rFonts w:ascii="Roboto" w:eastAsia="Times New Roman" w:hAnsi="Roboto" w:cs="Times New Roman"/>
          <w:color w:val="000000"/>
          <w:sz w:val="21"/>
          <w:szCs w:val="21"/>
          <w:lang w:eastAsia="en-GB"/>
        </w:rPr>
        <w:t xml:space="preserve"> liquids, smaller amount of liquid filling a cup, and straw use significantly decreased sip size, whereas </w:t>
      </w:r>
      <w:proofErr w:type="spellStart"/>
      <w:r w:rsidRPr="00C66B7D">
        <w:rPr>
          <w:rFonts w:ascii="Roboto" w:eastAsia="Times New Roman" w:hAnsi="Roboto" w:cs="Times New Roman"/>
          <w:color w:val="000000"/>
          <w:sz w:val="21"/>
          <w:szCs w:val="21"/>
          <w:lang w:eastAsia="en-GB"/>
        </w:rPr>
        <w:t>transnasal</w:t>
      </w:r>
      <w:proofErr w:type="spellEnd"/>
      <w:r w:rsidRPr="00C66B7D">
        <w:rPr>
          <w:rFonts w:ascii="Roboto" w:eastAsia="Times New Roman" w:hAnsi="Roboto" w:cs="Times New Roman"/>
          <w:color w:val="000000"/>
          <w:sz w:val="21"/>
          <w:szCs w:val="21"/>
          <w:lang w:eastAsia="en-GB"/>
        </w:rPr>
        <w:t xml:space="preserve"> endoscopy and barium significantly increased sip size (p 0.05). </w:t>
      </w:r>
      <w:r w:rsidRPr="00C66B7D">
        <w:rPr>
          <w:rFonts w:ascii="Roboto" w:eastAsia="Times New Roman" w:hAnsi="Roboto" w:cs="Times New Roman"/>
          <w:b/>
          <w:bCs/>
          <w:color w:val="000000"/>
          <w:sz w:val="21"/>
          <w:szCs w:val="21"/>
          <w:lang w:eastAsia="en-GB"/>
        </w:rPr>
        <w:t>CONCLUSION</w:t>
      </w:r>
      <w:r w:rsidRPr="00C66B7D">
        <w:rPr>
          <w:rFonts w:ascii="Roboto" w:eastAsia="Times New Roman" w:hAnsi="Roboto" w:cs="Times New Roman"/>
          <w:color w:val="000000"/>
          <w:sz w:val="21"/>
          <w:szCs w:val="21"/>
          <w:lang w:eastAsia="en-GB"/>
        </w:rPr>
        <w:t xml:space="preserve">: Outpatient adults typically select thin liquid sips of ~24 mL under natural conditions, </w:t>
      </w:r>
      <w:proofErr w:type="gramStart"/>
      <w:r w:rsidRPr="00C66B7D">
        <w:rPr>
          <w:rFonts w:ascii="Roboto" w:eastAsia="Times New Roman" w:hAnsi="Roboto" w:cs="Times New Roman"/>
          <w:color w:val="000000"/>
          <w:sz w:val="21"/>
          <w:szCs w:val="21"/>
          <w:lang w:eastAsia="en-GB"/>
        </w:rPr>
        <w:t>similar to</w:t>
      </w:r>
      <w:proofErr w:type="gramEnd"/>
      <w:r w:rsidRPr="00C66B7D">
        <w:rPr>
          <w:rFonts w:ascii="Roboto" w:eastAsia="Times New Roman" w:hAnsi="Roboto" w:cs="Times New Roman"/>
          <w:color w:val="000000"/>
          <w:sz w:val="21"/>
          <w:szCs w:val="21"/>
          <w:lang w:eastAsia="en-GB"/>
        </w:rPr>
        <w:t xml:space="preserve"> what is reported in healthy community dwelling adults and far exceeding sip sizes frequently used during routine clinical assessments. Testing-induced alterations significantly alter natural sip size, suggesting that "natural" self-selected sips during clinical assessments, FEES, and MBS rarely reflect real-world drinking. Because sip size is not predictable from patient characteristics and is altered when being testing, clinicians should consider testing a range of fixed volumes to comprehensively assess swallowing function across patients.</w:t>
      </w:r>
      <w:r w:rsidRPr="00C66B7D">
        <w:rPr>
          <w:rFonts w:ascii="Roboto" w:eastAsia="Times New Roman" w:hAnsi="Roboto" w:cs="Times New Roman"/>
          <w:color w:val="000000"/>
          <w:sz w:val="21"/>
          <w:szCs w:val="21"/>
          <w:lang w:eastAsia="en-GB"/>
        </w:rPr>
        <w:br/>
      </w:r>
      <w:r w:rsidRPr="00C66B7D">
        <w:rPr>
          <w:rFonts w:ascii="Roboto" w:eastAsia="Times New Roman" w:hAnsi="Roboto" w:cs="Times New Roman"/>
          <w:color w:val="000000"/>
          <w:sz w:val="21"/>
          <w:szCs w:val="21"/>
          <w:lang w:eastAsia="en-GB"/>
        </w:rPr>
        <w:br/>
      </w:r>
      <w:r w:rsidRPr="00C66B7D">
        <w:rPr>
          <w:rFonts w:ascii="Roboto" w:eastAsia="Times New Roman" w:hAnsi="Roboto" w:cs="Times New Roman"/>
          <w:b/>
          <w:bCs/>
          <w:color w:val="000000"/>
          <w:sz w:val="21"/>
          <w:szCs w:val="21"/>
          <w:lang w:eastAsia="en-GB"/>
        </w:rPr>
        <w:t>Access or request full text: </w:t>
      </w:r>
      <w:hyperlink r:id="rId46" w:tgtFrame="_blank" w:history="1">
        <w:r w:rsidRPr="00C66B7D">
          <w:rPr>
            <w:rFonts w:ascii="Roboto" w:eastAsia="Times New Roman" w:hAnsi="Roboto" w:cs="Times New Roman"/>
            <w:color w:val="0066CC"/>
            <w:sz w:val="21"/>
            <w:szCs w:val="21"/>
            <w:lang w:eastAsia="en-GB"/>
          </w:rPr>
          <w:t>https://libkey.io/10.1159/000552746</w:t>
        </w:r>
      </w:hyperlink>
    </w:p>
    <w:p w14:paraId="11BACD00" w14:textId="54BDE5DF" w:rsidR="00DD6D1E" w:rsidRDefault="00C66B7D" w:rsidP="00C66B7D">
      <w:pPr>
        <w:pStyle w:val="Default"/>
        <w:rPr>
          <w:b/>
          <w:bCs/>
          <w:sz w:val="20"/>
          <w:szCs w:val="22"/>
        </w:rPr>
      </w:pPr>
      <w:r w:rsidRPr="00C66B7D">
        <w:rPr>
          <w:rFonts w:ascii="Roboto" w:eastAsia="Times New Roman" w:hAnsi="Roboto" w:cs="Times New Roman"/>
          <w:i/>
          <w:iCs/>
          <w:sz w:val="21"/>
          <w:szCs w:val="21"/>
          <w:shd w:val="clear" w:color="auto" w:fill="FFFFFF"/>
          <w:lang w:eastAsia="en-GB"/>
        </w:rPr>
        <w:t>You will need your </w:t>
      </w:r>
      <w:hyperlink r:id="rId47" w:history="1">
        <w:r w:rsidRPr="00C66B7D">
          <w:rPr>
            <w:rFonts w:ascii="Roboto" w:eastAsia="Times New Roman" w:hAnsi="Roboto" w:cs="Times New Roman"/>
            <w:i/>
            <w:iCs/>
            <w:color w:val="0066CC"/>
            <w:sz w:val="21"/>
            <w:szCs w:val="21"/>
            <w:lang w:eastAsia="en-GB"/>
          </w:rPr>
          <w:t>NHS OpenAthens account</w:t>
        </w:r>
      </w:hyperlink>
      <w:r w:rsidRPr="00C66B7D">
        <w:rPr>
          <w:rFonts w:ascii="Roboto" w:eastAsia="Times New Roman" w:hAnsi="Roboto" w:cs="Times New Roman"/>
          <w:i/>
          <w:iCs/>
          <w:sz w:val="21"/>
          <w:szCs w:val="21"/>
          <w:shd w:val="clear" w:color="auto" w:fill="FFFFFF"/>
          <w:lang w:eastAsia="en-GB"/>
        </w:rPr>
        <w:t> to access the full text of licenced content.</w:t>
      </w:r>
      <w:r w:rsidRPr="00C66B7D">
        <w:rPr>
          <w:rFonts w:ascii="Roboto" w:eastAsia="Times New Roman" w:hAnsi="Roboto" w:cs="Times New Roman"/>
          <w:sz w:val="21"/>
          <w:szCs w:val="21"/>
          <w:lang w:eastAsia="en-GB"/>
        </w:rPr>
        <w:br/>
      </w:r>
      <w:r w:rsidRPr="00C66B7D">
        <w:rPr>
          <w:rFonts w:ascii="Roboto" w:eastAsia="Times New Roman" w:hAnsi="Roboto" w:cs="Times New Roman"/>
          <w:i/>
          <w:iCs/>
          <w:sz w:val="21"/>
          <w:szCs w:val="21"/>
          <w:shd w:val="clear" w:color="auto" w:fill="FFFFFF"/>
          <w:lang w:eastAsia="en-GB"/>
        </w:rPr>
        <w:t>This service is provided to the NHS in England by NHSE Workforce, Training &amp; Education.</w:t>
      </w:r>
    </w:p>
    <w:p w14:paraId="46573252" w14:textId="77777777" w:rsidR="00DD6D1E" w:rsidRDefault="00DD6D1E" w:rsidP="00DD6D1E">
      <w:pPr>
        <w:pStyle w:val="Default"/>
        <w:rPr>
          <w:b/>
          <w:bCs/>
          <w:sz w:val="20"/>
          <w:szCs w:val="22"/>
        </w:rPr>
      </w:pPr>
    </w:p>
    <w:p w14:paraId="1A324BE8" w14:textId="77777777" w:rsidR="00DD6D1E" w:rsidRPr="00054308" w:rsidRDefault="00DD6D1E" w:rsidP="00DD6D1E">
      <w:pPr>
        <w:pStyle w:val="Default"/>
        <w:rPr>
          <w:sz w:val="20"/>
          <w:szCs w:val="22"/>
        </w:rPr>
      </w:pPr>
      <w:r w:rsidRPr="00054308">
        <w:rPr>
          <w:b/>
          <w:bCs/>
          <w:sz w:val="20"/>
          <w:szCs w:val="22"/>
        </w:rPr>
        <w:t xml:space="preserve">Sources Used: </w:t>
      </w:r>
    </w:p>
    <w:p w14:paraId="1696CE23" w14:textId="1D0DAEDD" w:rsidR="00DD6D1E" w:rsidRPr="00054308" w:rsidRDefault="00DD6D1E" w:rsidP="00DD6D1E">
      <w:pPr>
        <w:pStyle w:val="Default"/>
        <w:rPr>
          <w:sz w:val="20"/>
          <w:szCs w:val="22"/>
        </w:rPr>
      </w:pPr>
      <w:r>
        <w:rPr>
          <w:sz w:val="20"/>
          <w:szCs w:val="22"/>
        </w:rPr>
        <w:t>The following databases we</w:t>
      </w:r>
      <w:r w:rsidRPr="00054308">
        <w:rPr>
          <w:sz w:val="20"/>
          <w:szCs w:val="22"/>
        </w:rPr>
        <w:t>re used in the crea</w:t>
      </w:r>
      <w:r>
        <w:rPr>
          <w:sz w:val="20"/>
          <w:szCs w:val="22"/>
        </w:rPr>
        <w:t xml:space="preserve">tion of this bulletin: </w:t>
      </w:r>
      <w:r w:rsidR="00B634F3">
        <w:rPr>
          <w:sz w:val="20"/>
          <w:szCs w:val="22"/>
        </w:rPr>
        <w:t>MEDLINE</w:t>
      </w:r>
      <w:r w:rsidRPr="00054308">
        <w:rPr>
          <w:sz w:val="20"/>
          <w:szCs w:val="22"/>
        </w:rPr>
        <w:t xml:space="preserve">. </w:t>
      </w:r>
    </w:p>
    <w:p w14:paraId="326ED9CD" w14:textId="77777777" w:rsidR="00DD6D1E" w:rsidRPr="00054308" w:rsidRDefault="00DD6D1E" w:rsidP="00DD6D1E">
      <w:pPr>
        <w:pStyle w:val="Default"/>
        <w:rPr>
          <w:sz w:val="20"/>
          <w:szCs w:val="22"/>
        </w:rPr>
      </w:pPr>
    </w:p>
    <w:p w14:paraId="61A65314" w14:textId="77777777" w:rsidR="00DD6D1E" w:rsidRPr="00054308" w:rsidRDefault="00DD6D1E" w:rsidP="00DD6D1E">
      <w:pPr>
        <w:pStyle w:val="Default"/>
        <w:rPr>
          <w:sz w:val="20"/>
          <w:szCs w:val="22"/>
        </w:rPr>
      </w:pPr>
      <w:r w:rsidRPr="00054308">
        <w:rPr>
          <w:b/>
          <w:bCs/>
          <w:sz w:val="20"/>
          <w:szCs w:val="22"/>
        </w:rPr>
        <w:t xml:space="preserve">Disclaimer </w:t>
      </w:r>
    </w:p>
    <w:p w14:paraId="44CE1CA7" w14:textId="77777777" w:rsidR="00DD6D1E" w:rsidRPr="00054308" w:rsidRDefault="00DD6D1E" w:rsidP="00DD6D1E">
      <w:pPr>
        <w:pStyle w:val="Default"/>
        <w:rPr>
          <w:sz w:val="20"/>
          <w:szCs w:val="22"/>
        </w:rPr>
      </w:pPr>
      <w:r w:rsidRPr="00054308">
        <w:rPr>
          <w:sz w:val="20"/>
          <w:szCs w:val="22"/>
        </w:rPr>
        <w:t xml:space="preserve">Royal United Hospital Bath Healthcare Library will endeavour to use the best, most appropriate and most recent sources available to it, but accepts no liability for the information retrieved, which is subject to the content and accuracy of databases, and the limitations of the search process. The library assumes no liability for the interpretation or application of these results, which are not intended to provide advice or recommendations on patient care. </w:t>
      </w:r>
    </w:p>
    <w:p w14:paraId="322E0C35" w14:textId="77777777" w:rsidR="00DD6D1E" w:rsidRDefault="00DD6D1E"/>
    <w:sectPr w:rsidR="00DD6D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06B05"/>
    <w:multiLevelType w:val="hybridMultilevel"/>
    <w:tmpl w:val="E6308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3466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D1E"/>
    <w:rsid w:val="000A6B97"/>
    <w:rsid w:val="00173E0E"/>
    <w:rsid w:val="00191F51"/>
    <w:rsid w:val="001A2F7B"/>
    <w:rsid w:val="0021117F"/>
    <w:rsid w:val="00302947"/>
    <w:rsid w:val="003E7AE2"/>
    <w:rsid w:val="0050212E"/>
    <w:rsid w:val="0051077C"/>
    <w:rsid w:val="00597049"/>
    <w:rsid w:val="005C41DE"/>
    <w:rsid w:val="005D5391"/>
    <w:rsid w:val="00601676"/>
    <w:rsid w:val="00653B13"/>
    <w:rsid w:val="006C77B8"/>
    <w:rsid w:val="006D1A23"/>
    <w:rsid w:val="007B49D9"/>
    <w:rsid w:val="008B2EBE"/>
    <w:rsid w:val="00B60576"/>
    <w:rsid w:val="00B610E0"/>
    <w:rsid w:val="00B634F3"/>
    <w:rsid w:val="00B67A43"/>
    <w:rsid w:val="00C3303F"/>
    <w:rsid w:val="00C66B7D"/>
    <w:rsid w:val="00D3468F"/>
    <w:rsid w:val="00D67C1F"/>
    <w:rsid w:val="00DD6D1E"/>
    <w:rsid w:val="00E530FB"/>
    <w:rsid w:val="00E62DDC"/>
    <w:rsid w:val="00F9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C955"/>
  <w15:chartTrackingRefBased/>
  <w15:docId w15:val="{73159F7F-958E-47BB-96BF-1C338BDE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68F"/>
    <w:pPr>
      <w:spacing w:after="0" w:line="240" w:lineRule="auto"/>
    </w:pPr>
    <w:rPr>
      <w:rFonts w:ascii="Arial" w:hAnsi="Arial" w:cs="Calibri"/>
      <w:sz w:val="24"/>
    </w:rPr>
  </w:style>
  <w:style w:type="paragraph" w:styleId="Heading1">
    <w:name w:val="heading 1"/>
    <w:basedOn w:val="Normal"/>
    <w:next w:val="Normal"/>
    <w:link w:val="Heading1Char"/>
    <w:uiPriority w:val="9"/>
    <w:qFormat/>
    <w:rsid w:val="003E7AE2"/>
    <w:pPr>
      <w:keepNext/>
      <w:keepLines/>
      <w:spacing w:before="24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semiHidden/>
    <w:unhideWhenUsed/>
    <w:qFormat/>
    <w:rsid w:val="0050212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6D1E"/>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DD6D1E"/>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DD6D1E"/>
    <w:rPr>
      <w:rFonts w:ascii="Arial" w:eastAsiaTheme="majorEastAsia" w:hAnsi="Arial" w:cstheme="majorBidi"/>
      <w:b/>
      <w:spacing w:val="-10"/>
      <w:kern w:val="28"/>
      <w:sz w:val="56"/>
      <w:szCs w:val="56"/>
    </w:rPr>
  </w:style>
  <w:style w:type="character" w:customStyle="1" w:styleId="Heading1Char">
    <w:name w:val="Heading 1 Char"/>
    <w:basedOn w:val="DefaultParagraphFont"/>
    <w:link w:val="Heading1"/>
    <w:uiPriority w:val="9"/>
    <w:rsid w:val="003E7AE2"/>
    <w:rPr>
      <w:rFonts w:ascii="Arial" w:eastAsiaTheme="majorEastAsia" w:hAnsi="Arial" w:cstheme="majorBidi"/>
      <w:b/>
      <w:color w:val="2E74B5" w:themeColor="accent1" w:themeShade="BF"/>
      <w:sz w:val="32"/>
      <w:szCs w:val="32"/>
    </w:rPr>
  </w:style>
  <w:style w:type="paragraph" w:styleId="TOCHeading">
    <w:name w:val="TOC Heading"/>
    <w:basedOn w:val="Heading1"/>
    <w:next w:val="Normal"/>
    <w:uiPriority w:val="39"/>
    <w:unhideWhenUsed/>
    <w:qFormat/>
    <w:rsid w:val="00653B13"/>
    <w:pPr>
      <w:spacing w:line="259" w:lineRule="auto"/>
      <w:outlineLvl w:val="9"/>
    </w:pPr>
    <w:rPr>
      <w:rFonts w:asciiTheme="majorHAnsi" w:hAnsiTheme="majorHAnsi"/>
      <w:b w:val="0"/>
      <w:lang w:val="en-US"/>
    </w:rPr>
  </w:style>
  <w:style w:type="paragraph" w:styleId="TOC1">
    <w:name w:val="toc 1"/>
    <w:basedOn w:val="Normal"/>
    <w:next w:val="Normal"/>
    <w:autoRedefine/>
    <w:uiPriority w:val="39"/>
    <w:unhideWhenUsed/>
    <w:rsid w:val="00653B13"/>
    <w:pPr>
      <w:spacing w:after="100"/>
    </w:pPr>
  </w:style>
  <w:style w:type="character" w:styleId="Hyperlink">
    <w:name w:val="Hyperlink"/>
    <w:basedOn w:val="DefaultParagraphFont"/>
    <w:uiPriority w:val="99"/>
    <w:unhideWhenUsed/>
    <w:rsid w:val="00653B13"/>
    <w:rPr>
      <w:color w:val="0563C1" w:themeColor="hyperlink"/>
      <w:u w:val="single"/>
    </w:rPr>
  </w:style>
  <w:style w:type="character" w:customStyle="1" w:styleId="Heading2Char">
    <w:name w:val="Heading 2 Char"/>
    <w:basedOn w:val="DefaultParagraphFont"/>
    <w:link w:val="Heading2"/>
    <w:uiPriority w:val="9"/>
    <w:rsid w:val="0050212E"/>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502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key.io/10.1111/1460-6984.70239" TargetMode="External"/><Relationship Id="rId18" Type="http://schemas.openxmlformats.org/officeDocument/2006/relationships/hyperlink" Target="https://libkey.io/10.3390/diagnostics16050683" TargetMode="External"/><Relationship Id="rId26" Type="http://schemas.openxmlformats.org/officeDocument/2006/relationships/hyperlink" Target="https://libkey.io/10.1007/s00455-026-10957-0" TargetMode="External"/><Relationship Id="rId39" Type="http://schemas.openxmlformats.org/officeDocument/2006/relationships/hyperlink" Target="https://libkey.io/10.1007/s00455-026-10985-w" TargetMode="External"/><Relationship Id="rId21" Type="http://schemas.openxmlformats.org/officeDocument/2006/relationships/hyperlink" Target="https://libkey.io/10.1007/s00455-026-10952-5" TargetMode="External"/><Relationship Id="rId34" Type="http://schemas.openxmlformats.org/officeDocument/2006/relationships/hyperlink" Target="https://libkey.io/10.1016/j.apmr.2026.03.012" TargetMode="External"/><Relationship Id="rId42" Type="http://schemas.openxmlformats.org/officeDocument/2006/relationships/hyperlink" Target="https://libkey.io/10.23736/S0026-4806.26.09915-5" TargetMode="External"/><Relationship Id="rId47" Type="http://schemas.openxmlformats.org/officeDocument/2006/relationships/hyperlink" Target="https://openathens.nice.org.uk/" TargetMode="External"/><Relationship Id="rId7" Type="http://schemas.openxmlformats.org/officeDocument/2006/relationships/hyperlink" Target="https://libkey.io/10.1044/2026_AJSLP-25-00470" TargetMode="External"/><Relationship Id="rId2" Type="http://schemas.openxmlformats.org/officeDocument/2006/relationships/numbering" Target="numbering.xml"/><Relationship Id="rId16" Type="http://schemas.openxmlformats.org/officeDocument/2006/relationships/hyperlink" Target="https://libkey.io/10.1121/10.0043015" TargetMode="External"/><Relationship Id="rId29" Type="http://schemas.openxmlformats.org/officeDocument/2006/relationships/hyperlink" Target="https://libkey.io/10.1080/10749357.2026.2670718" TargetMode="External"/><Relationship Id="rId11" Type="http://schemas.openxmlformats.org/officeDocument/2006/relationships/hyperlink" Target="https://openathens.nice.org.uk/" TargetMode="External"/><Relationship Id="rId24" Type="http://schemas.openxmlformats.org/officeDocument/2006/relationships/hyperlink" Target="https://libkey.io/10.1016/j.archger.2026.106350" TargetMode="External"/><Relationship Id="rId32" Type="http://schemas.openxmlformats.org/officeDocument/2006/relationships/hyperlink" Target="https://libkey.io/10.1002/hed.70379" TargetMode="External"/><Relationship Id="rId37" Type="http://schemas.openxmlformats.org/officeDocument/2006/relationships/hyperlink" Target="https://libkey.io/10.1007/s00455-026-10954-3" TargetMode="External"/><Relationship Id="rId40" Type="http://schemas.openxmlformats.org/officeDocument/2006/relationships/hyperlink" Target="https://openathens.nice.org.uk/" TargetMode="External"/><Relationship Id="rId45" Type="http://schemas.openxmlformats.org/officeDocument/2006/relationships/hyperlink" Target="https://openathens.nice.org.uk/" TargetMode="External"/><Relationship Id="rId5" Type="http://schemas.openxmlformats.org/officeDocument/2006/relationships/webSettings" Target="webSettings.xml"/><Relationship Id="rId15" Type="http://schemas.openxmlformats.org/officeDocument/2006/relationships/hyperlink" Target="https://libkey.io/10.1044/2025_JSLHR-25-00078" TargetMode="External"/><Relationship Id="rId23" Type="http://schemas.openxmlformats.org/officeDocument/2006/relationships/hyperlink" Target="https://libkey.io/10.1016/j.anl.2026.06.014" TargetMode="External"/><Relationship Id="rId28" Type="http://schemas.openxmlformats.org/officeDocument/2006/relationships/hyperlink" Target="https://libkey.io/10.1016/j.jstrokecerebrovasdis.2026.108691" TargetMode="External"/><Relationship Id="rId36" Type="http://schemas.openxmlformats.org/officeDocument/2006/relationships/hyperlink" Target="https://libkey.io/10.1111/jocn.70456" TargetMode="External"/><Relationship Id="rId49" Type="http://schemas.openxmlformats.org/officeDocument/2006/relationships/theme" Target="theme/theme1.xml"/><Relationship Id="rId10" Type="http://schemas.openxmlformats.org/officeDocument/2006/relationships/hyperlink" Target="https://libkey.io/10.1016/j.apmr.2026.07.002" TargetMode="External"/><Relationship Id="rId19" Type="http://schemas.openxmlformats.org/officeDocument/2006/relationships/hyperlink" Target="https://libkey.io/10.1007/s00415-026-13740-1" TargetMode="External"/><Relationship Id="rId31" Type="http://schemas.openxmlformats.org/officeDocument/2006/relationships/hyperlink" Target="https://libkey.io/10.1007/s00455-026-10965-0" TargetMode="External"/><Relationship Id="rId44" Type="http://schemas.openxmlformats.org/officeDocument/2006/relationships/hyperlink" Target="https://libkey.io/10.1044/2026_JSLHR-25-00569" TargetMode="External"/><Relationship Id="rId4" Type="http://schemas.openxmlformats.org/officeDocument/2006/relationships/settings" Target="settings.xml"/><Relationship Id="rId9" Type="http://schemas.openxmlformats.org/officeDocument/2006/relationships/hyperlink" Target="https://libkey.io/10.1159/000552766" TargetMode="External"/><Relationship Id="rId14" Type="http://schemas.openxmlformats.org/officeDocument/2006/relationships/hyperlink" Target="https://libkey.io/10.2196/81938" TargetMode="External"/><Relationship Id="rId22" Type="http://schemas.openxmlformats.org/officeDocument/2006/relationships/hyperlink" Target="https://libkey.io/10.1080/09638288.2026.2704460" TargetMode="External"/><Relationship Id="rId27" Type="http://schemas.openxmlformats.org/officeDocument/2006/relationships/hyperlink" Target="https://libkey.io/10.1097/NCC.0000000000001588" TargetMode="External"/><Relationship Id="rId30" Type="http://schemas.openxmlformats.org/officeDocument/2006/relationships/hyperlink" Target="https://libkey.io/10.1016/j.archger.2026.106341" TargetMode="External"/><Relationship Id="rId35" Type="http://schemas.openxmlformats.org/officeDocument/2006/relationships/hyperlink" Target="https://libkey.io/10.1002/hed.70352" TargetMode="External"/><Relationship Id="rId43" Type="http://schemas.openxmlformats.org/officeDocument/2006/relationships/hyperlink" Target="https://doi.org/10.23641/asha.32616798." TargetMode="External"/><Relationship Id="rId48" Type="http://schemas.openxmlformats.org/officeDocument/2006/relationships/fontTable" Target="fontTable.xml"/><Relationship Id="rId8" Type="http://schemas.openxmlformats.org/officeDocument/2006/relationships/hyperlink" Target="https://libkey.io/10.1080/17549507.2026.2694575" TargetMode="External"/><Relationship Id="rId3" Type="http://schemas.openxmlformats.org/officeDocument/2006/relationships/styles" Target="styles.xml"/><Relationship Id="rId12" Type="http://schemas.openxmlformats.org/officeDocument/2006/relationships/hyperlink" Target="https://libkey.io/10.3390/audiolres16010009" TargetMode="External"/><Relationship Id="rId17" Type="http://schemas.openxmlformats.org/officeDocument/2006/relationships/hyperlink" Target="https://libkey.io/10.1093/jmt/thag009" TargetMode="External"/><Relationship Id="rId25" Type="http://schemas.openxmlformats.org/officeDocument/2006/relationships/hyperlink" Target="https://libkey.io/10.1136/svn-2026-005197" TargetMode="External"/><Relationship Id="rId33" Type="http://schemas.openxmlformats.org/officeDocument/2006/relationships/hyperlink" Target="https://libkey.io/10.1080/17549507.2026.2663896" TargetMode="External"/><Relationship Id="rId38" Type="http://schemas.openxmlformats.org/officeDocument/2006/relationships/hyperlink" Target="https://libkey.io/10.1007/s00455-026-10987-8" TargetMode="External"/><Relationship Id="rId46" Type="http://schemas.openxmlformats.org/officeDocument/2006/relationships/hyperlink" Target="https://libkey.io/10.1159/000552746" TargetMode="External"/><Relationship Id="rId20" Type="http://schemas.openxmlformats.org/officeDocument/2006/relationships/hyperlink" Target="https://openathens.nice.org.uk/" TargetMode="External"/><Relationship Id="rId41" Type="http://schemas.openxmlformats.org/officeDocument/2006/relationships/hyperlink" Target="https://libkey.io/10.1002/mdc3.70584" TargetMode="External"/><Relationship Id="rId1" Type="http://schemas.openxmlformats.org/officeDocument/2006/relationships/customXml" Target="../customXml/item1.xml"/><Relationship Id="rId6" Type="http://schemas.openxmlformats.org/officeDocument/2006/relationships/hyperlink" Target="https://gbr01.safelinks.protection.outlook.com/?url=https%3A%2F%2Fforms.office.com%2Fe%2FHyiSXfDaYV&amp;data=05%7C02%7Cruh-tr.library%40nhs.net%7C2f379cb5e2a347cb023108dd49c9e10f%7C37c354b285b047f5b22207b48d774ee3%7C0%7C0%7C638747853900222040%7CUnknown%7CTWFpbGZsb3d8eyJFbXB0eU1hcGkiOnRydWUsIlYiOiIwLjAuMDAwMCIsIlAiOiJXaW4zMiIsIkFOIjoiTWFpbCIsIldUIjoyfQ%3D%3D%7C0%7C%7C%7C&amp;sdata=vRCRUTP%2BTxSNmofg6hSXz9C9tXw13XOj3jvNGgToK3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D07BE-8FC7-403F-A72B-33177A94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24</Pages>
  <Words>13196</Words>
  <Characters>75220</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Royal United Hospital Bath NHS Trust</Company>
  <LinksUpToDate>false</LinksUpToDate>
  <CharactersWithSpaces>88240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Garces-Bovett, Camila</dc:creator>
  <cp:keywords/>
  <dc:description/>
  <cp:lastModifiedBy>GARCES-BOVETT, Camila (BSW HOSPITALS GROUP - RUH)</cp:lastModifiedBy>
  <cp:revision>7</cp:revision>
  <dcterms:created xsi:type="dcterms:W3CDTF">2026-08-03T13:26:00Z</dcterms:created>
  <dcterms:modified xsi:type="dcterms:W3CDTF">2026-08-05T07:57:00Z</dcterms:modified>
</cp:coreProperties>
</file>