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4EE4D" w14:textId="778D2993" w:rsidR="00D67C1F" w:rsidRDefault="00DD6D1E" w:rsidP="00DD6D1E">
      <w:pPr>
        <w:pStyle w:val="Title"/>
      </w:pPr>
      <w:r>
        <w:t>RUH</w:t>
      </w:r>
      <w:r w:rsidR="00C3303F">
        <w:t xml:space="preserve"> bulletin:</w:t>
      </w:r>
      <w:r>
        <w:t xml:space="preserve"> </w:t>
      </w:r>
      <w:r w:rsidR="003E7AE2">
        <w:t xml:space="preserve">Adult </w:t>
      </w:r>
      <w:r w:rsidR="00C3303F">
        <w:t>d</w:t>
      </w:r>
      <w:r w:rsidR="003E7AE2">
        <w:t>ysphagia</w:t>
      </w:r>
      <w:r w:rsidR="00597049">
        <w:t xml:space="preserve"> </w:t>
      </w:r>
      <w:r w:rsidR="00B60576">
        <w:t>and other topics</w:t>
      </w:r>
      <w:r>
        <w:t xml:space="preserve">: </w:t>
      </w:r>
      <w:r w:rsidR="00B22E2B">
        <w:t>September</w:t>
      </w:r>
      <w:r>
        <w:t xml:space="preserve"> 202</w:t>
      </w:r>
      <w:r w:rsidR="00E62DDC">
        <w:t>6</w:t>
      </w:r>
    </w:p>
    <w:p w14:paraId="3591AF00" w14:textId="77777777" w:rsidR="00177EA9" w:rsidRDefault="00177EA9" w:rsidP="00177EA9"/>
    <w:p w14:paraId="4E6F98A9" w14:textId="77777777" w:rsidR="00177EA9" w:rsidRPr="00C76319" w:rsidRDefault="00177EA9" w:rsidP="00177EA9">
      <w:pPr>
        <w:rPr>
          <w:rFonts w:eastAsia="Calibri"/>
          <w:b/>
        </w:rPr>
      </w:pPr>
      <w:r>
        <w:rPr>
          <w:rFonts w:eastAsia="Calibri"/>
          <w:b/>
          <w:color w:val="4472C4" w:themeColor="accent5"/>
          <w:sz w:val="28"/>
          <w:szCs w:val="24"/>
        </w:rPr>
        <w:t>T</w:t>
      </w:r>
      <w:r w:rsidRPr="00C76319">
        <w:rPr>
          <w:rFonts w:eastAsia="Calibri"/>
          <w:b/>
          <w:color w:val="4472C4" w:themeColor="accent5"/>
          <w:sz w:val="28"/>
          <w:szCs w:val="24"/>
        </w:rPr>
        <w:t xml:space="preserve">raining </w:t>
      </w:r>
      <w:r>
        <w:rPr>
          <w:rFonts w:eastAsia="Calibri"/>
          <w:b/>
          <w:color w:val="4472C4" w:themeColor="accent5"/>
          <w:sz w:val="28"/>
          <w:szCs w:val="24"/>
        </w:rPr>
        <w:t xml:space="preserve">sessions for </w:t>
      </w:r>
      <w:r w:rsidRPr="00191F51">
        <w:rPr>
          <w:rFonts w:eastAsia="Calibri"/>
          <w:b/>
          <w:color w:val="4472C4" w:themeColor="accent5"/>
          <w:sz w:val="28"/>
          <w:szCs w:val="24"/>
          <w:u w:val="single"/>
        </w:rPr>
        <w:t>BSW Staff</w:t>
      </w:r>
      <w:r>
        <w:rPr>
          <w:rFonts w:eastAsia="Calibri"/>
          <w:b/>
          <w:color w:val="4472C4" w:themeColor="accent5"/>
          <w:sz w:val="28"/>
          <w:szCs w:val="24"/>
        </w:rPr>
        <w:t xml:space="preserve"> on</w:t>
      </w:r>
      <w:r w:rsidRPr="00C76319">
        <w:rPr>
          <w:rFonts w:eastAsia="Calibri"/>
          <w:b/>
          <w:color w:val="4472C4" w:themeColor="accent5"/>
          <w:sz w:val="28"/>
          <w:szCs w:val="24"/>
        </w:rPr>
        <w:t xml:space="preserve"> Teams:</w:t>
      </w:r>
      <w:r w:rsidRPr="00C76319">
        <w:rPr>
          <w:rFonts w:eastAsia="Calibri"/>
          <w:b/>
          <w:color w:val="4472C4" w:themeColor="accent5"/>
          <w:sz w:val="28"/>
          <w:szCs w:val="24"/>
        </w:rPr>
        <w:br/>
      </w:r>
    </w:p>
    <w:p w14:paraId="2A405B0C" w14:textId="77777777" w:rsidR="00177EA9" w:rsidRPr="002A2074" w:rsidRDefault="00177EA9" w:rsidP="00177EA9">
      <w:pPr>
        <w:numPr>
          <w:ilvl w:val="0"/>
          <w:numId w:val="1"/>
        </w:numPr>
        <w:spacing w:before="80" w:after="80" w:line="259" w:lineRule="auto"/>
        <w:rPr>
          <w:szCs w:val="24"/>
        </w:rPr>
      </w:pPr>
      <w:r w:rsidRPr="002A2074">
        <w:rPr>
          <w:b/>
          <w:color w:val="000000"/>
          <w:szCs w:val="24"/>
        </w:rPr>
        <w:t>Bitesize searching databases for evidence: a quick guide to help you develop your literature searching skills</w:t>
      </w:r>
      <w:r w:rsidRPr="002A2074">
        <w:rPr>
          <w:color w:val="000000"/>
          <w:szCs w:val="24"/>
        </w:rPr>
        <w:br/>
        <w:t>45 minutes. Learn how to transform a question into a search strategy, and how to find the best evidence in a database.</w:t>
      </w:r>
    </w:p>
    <w:p w14:paraId="01F19210" w14:textId="171EA050" w:rsidR="00177EA9" w:rsidRPr="002A2074" w:rsidRDefault="00177EA9" w:rsidP="00177EA9">
      <w:pPr>
        <w:spacing w:before="80" w:after="80"/>
        <w:ind w:left="720"/>
        <w:contextualSpacing/>
        <w:rPr>
          <w:rFonts w:eastAsia="Arial"/>
          <w:b/>
          <w:bCs/>
          <w:color w:val="A20000"/>
          <w:szCs w:val="24"/>
        </w:rPr>
      </w:pPr>
      <w:r w:rsidRPr="002A2074">
        <w:rPr>
          <w:rFonts w:eastAsia="Arial"/>
          <w:b/>
          <w:color w:val="A20000"/>
          <w:szCs w:val="24"/>
        </w:rPr>
        <w:t>Next sessions:</w:t>
      </w:r>
      <w:r>
        <w:rPr>
          <w:rFonts w:eastAsia="Arial"/>
          <w:b/>
          <w:color w:val="A20000"/>
          <w:szCs w:val="24"/>
        </w:rPr>
        <w:t xml:space="preserve"> 29</w:t>
      </w:r>
      <w:r w:rsidRPr="00191F51">
        <w:rPr>
          <w:rFonts w:eastAsia="Arial"/>
          <w:b/>
          <w:color w:val="A20000"/>
          <w:szCs w:val="24"/>
          <w:vertAlign w:val="superscript"/>
        </w:rPr>
        <w:t>th</w:t>
      </w:r>
      <w:r>
        <w:rPr>
          <w:rFonts w:eastAsia="Arial"/>
          <w:b/>
          <w:color w:val="A20000"/>
          <w:szCs w:val="24"/>
        </w:rPr>
        <w:t xml:space="preserve"> September @</w:t>
      </w:r>
      <w:r>
        <w:rPr>
          <w:rFonts w:eastAsia="Arial"/>
          <w:b/>
          <w:color w:val="A20000"/>
          <w:szCs w:val="24"/>
        </w:rPr>
        <w:t xml:space="preserve"> </w:t>
      </w:r>
      <w:r>
        <w:rPr>
          <w:rFonts w:eastAsia="Arial"/>
          <w:b/>
          <w:color w:val="A20000"/>
          <w:szCs w:val="24"/>
        </w:rPr>
        <w:t>2pm and 7</w:t>
      </w:r>
      <w:r w:rsidRPr="00191F51">
        <w:rPr>
          <w:rFonts w:eastAsia="Arial"/>
          <w:b/>
          <w:color w:val="A20000"/>
          <w:szCs w:val="24"/>
          <w:vertAlign w:val="superscript"/>
        </w:rPr>
        <w:t>th</w:t>
      </w:r>
      <w:r>
        <w:rPr>
          <w:rFonts w:eastAsia="Arial"/>
          <w:b/>
          <w:color w:val="A20000"/>
          <w:szCs w:val="24"/>
        </w:rPr>
        <w:t xml:space="preserve"> October @</w:t>
      </w:r>
      <w:r>
        <w:rPr>
          <w:rFonts w:eastAsia="Arial"/>
          <w:b/>
          <w:color w:val="A20000"/>
          <w:szCs w:val="24"/>
        </w:rPr>
        <w:t xml:space="preserve"> </w:t>
      </w:r>
      <w:r>
        <w:rPr>
          <w:rFonts w:eastAsia="Arial"/>
          <w:b/>
          <w:color w:val="A20000"/>
          <w:szCs w:val="24"/>
        </w:rPr>
        <w:t>3pm.</w:t>
      </w:r>
    </w:p>
    <w:p w14:paraId="2B7D13DB" w14:textId="77777777" w:rsidR="00177EA9" w:rsidRPr="002A2074" w:rsidRDefault="00177EA9" w:rsidP="00177EA9">
      <w:pPr>
        <w:spacing w:before="80" w:after="80"/>
        <w:ind w:left="720"/>
        <w:contextualSpacing/>
        <w:rPr>
          <w:rFonts w:eastAsia="Arial"/>
          <w:color w:val="A20000"/>
          <w:szCs w:val="24"/>
        </w:rPr>
      </w:pPr>
    </w:p>
    <w:p w14:paraId="786F7A32" w14:textId="77777777" w:rsidR="00177EA9" w:rsidRPr="002A2074" w:rsidRDefault="00177EA9" w:rsidP="00177EA9">
      <w:pPr>
        <w:numPr>
          <w:ilvl w:val="0"/>
          <w:numId w:val="1"/>
        </w:numPr>
        <w:spacing w:before="80" w:after="80" w:line="259" w:lineRule="auto"/>
        <w:rPr>
          <w:szCs w:val="24"/>
        </w:rPr>
      </w:pPr>
      <w:r w:rsidRPr="002A2074">
        <w:rPr>
          <w:b/>
          <w:color w:val="000000"/>
          <w:szCs w:val="24"/>
        </w:rPr>
        <w:t>Simple and painless evidence into practice (BMJ Best Practice and the LKS Hub)</w:t>
      </w:r>
      <w:r w:rsidRPr="002A2074">
        <w:rPr>
          <w:color w:val="000000"/>
          <w:szCs w:val="24"/>
        </w:rPr>
        <w:br/>
        <w:t>30 minutes. Learn about quick and hassle-free ways to seamlessly incorporate evidence into your daily work.</w:t>
      </w:r>
    </w:p>
    <w:p w14:paraId="67AFC580" w14:textId="55F0EF71" w:rsidR="00177EA9" w:rsidRPr="002A2074" w:rsidRDefault="00177EA9" w:rsidP="00177EA9">
      <w:pPr>
        <w:spacing w:before="80" w:after="80"/>
        <w:ind w:left="720"/>
        <w:contextualSpacing/>
        <w:rPr>
          <w:rFonts w:eastAsia="Arial"/>
          <w:b/>
          <w:bCs/>
          <w:color w:val="A20000"/>
          <w:szCs w:val="24"/>
        </w:rPr>
      </w:pPr>
      <w:r w:rsidRPr="002A2074">
        <w:rPr>
          <w:rFonts w:eastAsia="Arial"/>
          <w:b/>
          <w:color w:val="A20000"/>
          <w:szCs w:val="24"/>
        </w:rPr>
        <w:t xml:space="preserve">Next sessions: </w:t>
      </w:r>
      <w:r>
        <w:rPr>
          <w:rFonts w:eastAsia="Arial"/>
          <w:b/>
          <w:color w:val="A20000"/>
          <w:szCs w:val="24"/>
        </w:rPr>
        <w:t>9</w:t>
      </w:r>
      <w:r w:rsidRPr="00191F51">
        <w:rPr>
          <w:rFonts w:eastAsia="Arial"/>
          <w:b/>
          <w:color w:val="A20000"/>
          <w:szCs w:val="24"/>
          <w:vertAlign w:val="superscript"/>
        </w:rPr>
        <w:t>th</w:t>
      </w:r>
      <w:r>
        <w:rPr>
          <w:rFonts w:eastAsia="Arial"/>
          <w:b/>
          <w:color w:val="A20000"/>
          <w:szCs w:val="24"/>
        </w:rPr>
        <w:t xml:space="preserve"> September @</w:t>
      </w:r>
      <w:r>
        <w:rPr>
          <w:rFonts w:eastAsia="Arial"/>
          <w:b/>
          <w:color w:val="A20000"/>
          <w:szCs w:val="24"/>
        </w:rPr>
        <w:t xml:space="preserve"> </w:t>
      </w:r>
      <w:r>
        <w:rPr>
          <w:rFonts w:eastAsia="Arial"/>
          <w:b/>
          <w:color w:val="A20000"/>
          <w:szCs w:val="24"/>
        </w:rPr>
        <w:t>10am</w:t>
      </w:r>
      <w:r>
        <w:rPr>
          <w:rFonts w:eastAsia="Arial"/>
          <w:b/>
          <w:color w:val="A20000"/>
          <w:szCs w:val="24"/>
        </w:rPr>
        <w:t xml:space="preserve"> and 29</w:t>
      </w:r>
      <w:r w:rsidRPr="00177EA9">
        <w:rPr>
          <w:rFonts w:eastAsia="Arial"/>
          <w:b/>
          <w:color w:val="A20000"/>
          <w:szCs w:val="24"/>
          <w:vertAlign w:val="superscript"/>
        </w:rPr>
        <w:t>th</w:t>
      </w:r>
      <w:r>
        <w:rPr>
          <w:rFonts w:eastAsia="Arial"/>
          <w:b/>
          <w:color w:val="A20000"/>
          <w:szCs w:val="24"/>
        </w:rPr>
        <w:t xml:space="preserve"> October @ 11am</w:t>
      </w:r>
      <w:r>
        <w:rPr>
          <w:rFonts w:eastAsia="Arial"/>
          <w:b/>
          <w:color w:val="A20000"/>
          <w:szCs w:val="24"/>
        </w:rPr>
        <w:t>.</w:t>
      </w:r>
    </w:p>
    <w:p w14:paraId="5D38AAB9" w14:textId="77777777" w:rsidR="00177EA9" w:rsidRPr="002A2074" w:rsidRDefault="00177EA9" w:rsidP="00177EA9">
      <w:pPr>
        <w:spacing w:before="80" w:after="80"/>
        <w:ind w:left="720"/>
        <w:contextualSpacing/>
        <w:rPr>
          <w:rFonts w:eastAsia="Arial"/>
          <w:szCs w:val="24"/>
        </w:rPr>
      </w:pPr>
    </w:p>
    <w:p w14:paraId="61FA5246" w14:textId="77777777" w:rsidR="00177EA9" w:rsidRPr="002A2074" w:rsidRDefault="00177EA9" w:rsidP="00177EA9">
      <w:pPr>
        <w:numPr>
          <w:ilvl w:val="0"/>
          <w:numId w:val="1"/>
        </w:numPr>
        <w:spacing w:before="80" w:after="80" w:line="259" w:lineRule="auto"/>
        <w:rPr>
          <w:color w:val="000000"/>
          <w:szCs w:val="24"/>
        </w:rPr>
      </w:pPr>
      <w:r w:rsidRPr="002A2074">
        <w:rPr>
          <w:b/>
          <w:color w:val="000000"/>
          <w:szCs w:val="24"/>
        </w:rPr>
        <w:t>Quickfire health literacy: communicating with patients more effectively</w:t>
      </w:r>
      <w:r w:rsidRPr="002A2074">
        <w:rPr>
          <w:color w:val="000000"/>
          <w:szCs w:val="24"/>
        </w:rPr>
        <w:br/>
        <w:t>30 minutes. Learn about the communication barriers patients may encounter, and ways to ensure they get the most from their care.</w:t>
      </w:r>
    </w:p>
    <w:p w14:paraId="5B3323D1" w14:textId="5C8C770F" w:rsidR="00177EA9" w:rsidRPr="002A2074" w:rsidRDefault="00177EA9" w:rsidP="00177EA9">
      <w:pPr>
        <w:spacing w:before="80" w:after="80"/>
        <w:ind w:left="720"/>
        <w:rPr>
          <w:b/>
          <w:bCs/>
          <w:color w:val="A20000"/>
          <w:szCs w:val="24"/>
        </w:rPr>
      </w:pPr>
      <w:r w:rsidRPr="002A2074">
        <w:rPr>
          <w:b/>
          <w:color w:val="A20000"/>
          <w:szCs w:val="24"/>
        </w:rPr>
        <w:t xml:space="preserve">Next sessions: </w:t>
      </w:r>
      <w:r>
        <w:rPr>
          <w:b/>
          <w:color w:val="A20000"/>
          <w:szCs w:val="24"/>
        </w:rPr>
        <w:t>13</w:t>
      </w:r>
      <w:r w:rsidRPr="00177EA9">
        <w:rPr>
          <w:b/>
          <w:color w:val="A20000"/>
          <w:szCs w:val="24"/>
          <w:vertAlign w:val="superscript"/>
        </w:rPr>
        <w:t>th</w:t>
      </w:r>
      <w:r>
        <w:rPr>
          <w:b/>
          <w:color w:val="A20000"/>
          <w:szCs w:val="24"/>
        </w:rPr>
        <w:t xml:space="preserve"> October @ 3pm and 25</w:t>
      </w:r>
      <w:r w:rsidRPr="00177EA9">
        <w:rPr>
          <w:b/>
          <w:color w:val="A20000"/>
          <w:szCs w:val="24"/>
          <w:vertAlign w:val="superscript"/>
        </w:rPr>
        <w:t>th</w:t>
      </w:r>
      <w:r>
        <w:rPr>
          <w:b/>
          <w:color w:val="A20000"/>
          <w:szCs w:val="24"/>
        </w:rPr>
        <w:t xml:space="preserve"> November @ 4pm.</w:t>
      </w:r>
    </w:p>
    <w:p w14:paraId="53F1E157" w14:textId="77777777" w:rsidR="00177EA9" w:rsidRPr="00C76319" w:rsidRDefault="00177EA9" w:rsidP="00177EA9">
      <w:pPr>
        <w:rPr>
          <w:rFonts w:eastAsia="Calibri"/>
          <w:b/>
          <w:bCs/>
        </w:rPr>
      </w:pPr>
    </w:p>
    <w:p w14:paraId="015EAD56" w14:textId="77777777" w:rsidR="00177EA9" w:rsidRDefault="00177EA9" w:rsidP="00177EA9">
      <w:pPr>
        <w:pStyle w:val="Default"/>
        <w:pBdr>
          <w:bottom w:val="single" w:sz="6" w:space="1" w:color="auto"/>
        </w:pBdr>
        <w:rPr>
          <w:rFonts w:eastAsia="Calibri"/>
        </w:rPr>
      </w:pPr>
      <w:r w:rsidRPr="00C76319">
        <w:rPr>
          <w:rFonts w:eastAsia="Calibri"/>
        </w:rPr>
        <w:t xml:space="preserve">Book a session today at </w:t>
      </w:r>
      <w:hyperlink r:id="rId6" w:history="1">
        <w:r w:rsidRPr="00C76319">
          <w:rPr>
            <w:rFonts w:eastAsia="Calibri"/>
            <w:color w:val="0563C1" w:themeColor="hyperlink"/>
            <w:u w:val="single"/>
          </w:rPr>
          <w:t>https://forms.office.com/e/HyiSXfDaYV</w:t>
        </w:r>
      </w:hyperlink>
      <w:r w:rsidRPr="00C76319">
        <w:rPr>
          <w:rFonts w:eastAsia="Calibri"/>
        </w:rPr>
        <w:t xml:space="preserve"> </w:t>
      </w:r>
    </w:p>
    <w:p w14:paraId="49C67495" w14:textId="77777777" w:rsidR="00177EA9" w:rsidRDefault="00177EA9" w:rsidP="00177EA9">
      <w:pPr>
        <w:pStyle w:val="Default"/>
        <w:pBdr>
          <w:bottom w:val="single" w:sz="6" w:space="1" w:color="auto"/>
        </w:pBdr>
        <w:rPr>
          <w:rFonts w:eastAsia="Calibri"/>
        </w:rPr>
      </w:pPr>
    </w:p>
    <w:p w14:paraId="7936CA00" w14:textId="77777777" w:rsidR="00DD6D1E" w:rsidRDefault="00DD6D1E" w:rsidP="00DD6D1E">
      <w:pPr>
        <w:pStyle w:val="Default"/>
        <w:rPr>
          <w:b/>
          <w:bCs/>
          <w:sz w:val="20"/>
          <w:szCs w:val="22"/>
        </w:rPr>
      </w:pPr>
    </w:p>
    <w:sdt>
      <w:sdtPr>
        <w:rPr>
          <w:rFonts w:ascii="Arial" w:eastAsiaTheme="minorHAnsi" w:hAnsi="Arial" w:cs="Calibri"/>
          <w:color w:val="auto"/>
          <w:sz w:val="24"/>
          <w:szCs w:val="22"/>
          <w:lang w:val="en-GB"/>
        </w:rPr>
        <w:id w:val="284322532"/>
        <w:docPartObj>
          <w:docPartGallery w:val="Table of Contents"/>
          <w:docPartUnique/>
        </w:docPartObj>
      </w:sdtPr>
      <w:sdtEndPr>
        <w:rPr>
          <w:b/>
          <w:bCs/>
          <w:noProof/>
        </w:rPr>
      </w:sdtEndPr>
      <w:sdtContent>
        <w:p w14:paraId="45F04D86" w14:textId="77777777" w:rsidR="00653B13" w:rsidRDefault="00653B13">
          <w:pPr>
            <w:pStyle w:val="TOCHeading"/>
          </w:pPr>
          <w:r>
            <w:t>Contents</w:t>
          </w:r>
        </w:p>
        <w:p w14:paraId="3736A727" w14:textId="269BF29C" w:rsidR="001C0895" w:rsidRDefault="00653B13">
          <w:pPr>
            <w:pStyle w:val="TOC1"/>
            <w:tabs>
              <w:tab w:val="right" w:leader="dot" w:pos="9016"/>
            </w:tabs>
            <w:rPr>
              <w:rFonts w:asciiTheme="minorHAnsi" w:eastAsiaTheme="minorEastAsia" w:hAnsiTheme="minorHAnsi" w:cstheme="minorBidi"/>
              <w:noProof/>
              <w:kern w:val="2"/>
              <w:szCs w:val="24"/>
              <w:lang w:eastAsia="en-GB"/>
              <w14:ligatures w14:val="standardContextual"/>
            </w:rPr>
          </w:pPr>
          <w:r>
            <w:fldChar w:fldCharType="begin"/>
          </w:r>
          <w:r>
            <w:instrText xml:space="preserve"> TOC \o "1-3" \h \z \u </w:instrText>
          </w:r>
          <w:r>
            <w:fldChar w:fldCharType="separate"/>
          </w:r>
          <w:hyperlink w:anchor="_Toc239259694" w:history="1">
            <w:r w:rsidR="001C0895" w:rsidRPr="003A1518">
              <w:rPr>
                <w:rStyle w:val="Hyperlink"/>
                <w:noProof/>
              </w:rPr>
              <w:t>Aphasia</w:t>
            </w:r>
            <w:r w:rsidR="001C0895">
              <w:rPr>
                <w:noProof/>
                <w:webHidden/>
              </w:rPr>
              <w:tab/>
            </w:r>
            <w:r w:rsidR="001C0895">
              <w:rPr>
                <w:noProof/>
                <w:webHidden/>
              </w:rPr>
              <w:fldChar w:fldCharType="begin"/>
            </w:r>
            <w:r w:rsidR="001C0895">
              <w:rPr>
                <w:noProof/>
                <w:webHidden/>
              </w:rPr>
              <w:instrText xml:space="preserve"> PAGEREF _Toc239259694 \h </w:instrText>
            </w:r>
            <w:r w:rsidR="001C0895">
              <w:rPr>
                <w:noProof/>
                <w:webHidden/>
              </w:rPr>
            </w:r>
            <w:r w:rsidR="001C0895">
              <w:rPr>
                <w:noProof/>
                <w:webHidden/>
              </w:rPr>
              <w:fldChar w:fldCharType="separate"/>
            </w:r>
            <w:r w:rsidR="00177EA9">
              <w:rPr>
                <w:noProof/>
                <w:webHidden/>
              </w:rPr>
              <w:t>1</w:t>
            </w:r>
            <w:r w:rsidR="001C0895">
              <w:rPr>
                <w:noProof/>
                <w:webHidden/>
              </w:rPr>
              <w:fldChar w:fldCharType="end"/>
            </w:r>
          </w:hyperlink>
        </w:p>
        <w:p w14:paraId="46B75C55" w14:textId="378024E3" w:rsidR="001C0895" w:rsidRDefault="001C089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9259695" w:history="1">
            <w:r w:rsidRPr="003A1518">
              <w:rPr>
                <w:rStyle w:val="Hyperlink"/>
                <w:noProof/>
              </w:rPr>
              <w:t>Dysphagia</w:t>
            </w:r>
            <w:r>
              <w:rPr>
                <w:noProof/>
                <w:webHidden/>
              </w:rPr>
              <w:tab/>
            </w:r>
            <w:r>
              <w:rPr>
                <w:noProof/>
                <w:webHidden/>
              </w:rPr>
              <w:fldChar w:fldCharType="begin"/>
            </w:r>
            <w:r>
              <w:rPr>
                <w:noProof/>
                <w:webHidden/>
              </w:rPr>
              <w:instrText xml:space="preserve"> PAGEREF _Toc239259695 \h </w:instrText>
            </w:r>
            <w:r>
              <w:rPr>
                <w:noProof/>
                <w:webHidden/>
              </w:rPr>
            </w:r>
            <w:r>
              <w:rPr>
                <w:noProof/>
                <w:webHidden/>
              </w:rPr>
              <w:fldChar w:fldCharType="separate"/>
            </w:r>
            <w:r w:rsidR="00177EA9">
              <w:rPr>
                <w:noProof/>
                <w:webHidden/>
              </w:rPr>
              <w:t>5</w:t>
            </w:r>
            <w:r>
              <w:rPr>
                <w:noProof/>
                <w:webHidden/>
              </w:rPr>
              <w:fldChar w:fldCharType="end"/>
            </w:r>
          </w:hyperlink>
        </w:p>
        <w:p w14:paraId="035E0891" w14:textId="63BBA9A1" w:rsidR="001C0895" w:rsidRDefault="001C089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9259696" w:history="1">
            <w:r w:rsidRPr="003A1518">
              <w:rPr>
                <w:rStyle w:val="Hyperlink"/>
                <w:noProof/>
              </w:rPr>
              <w:t>Videofluoroscopy</w:t>
            </w:r>
            <w:r>
              <w:rPr>
                <w:noProof/>
                <w:webHidden/>
              </w:rPr>
              <w:tab/>
            </w:r>
            <w:r>
              <w:rPr>
                <w:noProof/>
                <w:webHidden/>
              </w:rPr>
              <w:fldChar w:fldCharType="begin"/>
            </w:r>
            <w:r>
              <w:rPr>
                <w:noProof/>
                <w:webHidden/>
              </w:rPr>
              <w:instrText xml:space="preserve"> PAGEREF _Toc239259696 \h </w:instrText>
            </w:r>
            <w:r>
              <w:rPr>
                <w:noProof/>
                <w:webHidden/>
              </w:rPr>
            </w:r>
            <w:r>
              <w:rPr>
                <w:noProof/>
                <w:webHidden/>
              </w:rPr>
              <w:fldChar w:fldCharType="separate"/>
            </w:r>
            <w:r w:rsidR="00177EA9">
              <w:rPr>
                <w:noProof/>
                <w:webHidden/>
              </w:rPr>
              <w:t>9</w:t>
            </w:r>
            <w:r>
              <w:rPr>
                <w:noProof/>
                <w:webHidden/>
              </w:rPr>
              <w:fldChar w:fldCharType="end"/>
            </w:r>
          </w:hyperlink>
        </w:p>
        <w:p w14:paraId="497B546E" w14:textId="45B61240" w:rsidR="001C0895" w:rsidRDefault="001C089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9259697" w:history="1">
            <w:r w:rsidRPr="003A1518">
              <w:rPr>
                <w:rStyle w:val="Hyperlink"/>
                <w:noProof/>
              </w:rPr>
              <w:t>FEES</w:t>
            </w:r>
            <w:r>
              <w:rPr>
                <w:noProof/>
                <w:webHidden/>
              </w:rPr>
              <w:tab/>
            </w:r>
            <w:r>
              <w:rPr>
                <w:noProof/>
                <w:webHidden/>
              </w:rPr>
              <w:fldChar w:fldCharType="begin"/>
            </w:r>
            <w:r>
              <w:rPr>
                <w:noProof/>
                <w:webHidden/>
              </w:rPr>
              <w:instrText xml:space="preserve"> PAGEREF _Toc239259697 \h </w:instrText>
            </w:r>
            <w:r>
              <w:rPr>
                <w:noProof/>
                <w:webHidden/>
              </w:rPr>
            </w:r>
            <w:r>
              <w:rPr>
                <w:noProof/>
                <w:webHidden/>
              </w:rPr>
              <w:fldChar w:fldCharType="separate"/>
            </w:r>
            <w:r w:rsidR="00177EA9">
              <w:rPr>
                <w:noProof/>
                <w:webHidden/>
              </w:rPr>
              <w:t>10</w:t>
            </w:r>
            <w:r>
              <w:rPr>
                <w:noProof/>
                <w:webHidden/>
              </w:rPr>
              <w:fldChar w:fldCharType="end"/>
            </w:r>
          </w:hyperlink>
        </w:p>
        <w:p w14:paraId="1B62CAD1" w14:textId="747BC86E" w:rsidR="001C0895" w:rsidRDefault="001C0895">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9259698" w:history="1">
            <w:r w:rsidRPr="003A1518">
              <w:rPr>
                <w:rStyle w:val="Hyperlink"/>
                <w:noProof/>
              </w:rPr>
              <w:t>Neurorehabilitation</w:t>
            </w:r>
            <w:r>
              <w:rPr>
                <w:noProof/>
                <w:webHidden/>
              </w:rPr>
              <w:tab/>
            </w:r>
            <w:r>
              <w:rPr>
                <w:noProof/>
                <w:webHidden/>
              </w:rPr>
              <w:fldChar w:fldCharType="begin"/>
            </w:r>
            <w:r>
              <w:rPr>
                <w:noProof/>
                <w:webHidden/>
              </w:rPr>
              <w:instrText xml:space="preserve"> PAGEREF _Toc239259698 \h </w:instrText>
            </w:r>
            <w:r>
              <w:rPr>
                <w:noProof/>
                <w:webHidden/>
              </w:rPr>
            </w:r>
            <w:r>
              <w:rPr>
                <w:noProof/>
                <w:webHidden/>
              </w:rPr>
              <w:fldChar w:fldCharType="separate"/>
            </w:r>
            <w:r w:rsidR="00177EA9">
              <w:rPr>
                <w:noProof/>
                <w:webHidden/>
              </w:rPr>
              <w:t>12</w:t>
            </w:r>
            <w:r>
              <w:rPr>
                <w:noProof/>
                <w:webHidden/>
              </w:rPr>
              <w:fldChar w:fldCharType="end"/>
            </w:r>
          </w:hyperlink>
        </w:p>
        <w:p w14:paraId="4124990D" w14:textId="380B7903" w:rsidR="00653B13" w:rsidRDefault="00653B13">
          <w:r>
            <w:rPr>
              <w:b/>
              <w:bCs/>
              <w:noProof/>
            </w:rPr>
            <w:fldChar w:fldCharType="end"/>
          </w:r>
        </w:p>
      </w:sdtContent>
    </w:sdt>
    <w:p w14:paraId="341053DA" w14:textId="77777777" w:rsidR="00653B13" w:rsidRDefault="00653B13" w:rsidP="00653B13"/>
    <w:p w14:paraId="716D9AA6" w14:textId="77777777" w:rsidR="00DD6D1E" w:rsidRDefault="003E7AE2" w:rsidP="003E7AE2">
      <w:pPr>
        <w:pStyle w:val="Heading1"/>
      </w:pPr>
      <w:bookmarkStart w:id="0" w:name="_Toc239259694"/>
      <w:r w:rsidRPr="003E7AE2">
        <w:t>Aphasia</w:t>
      </w:r>
      <w:bookmarkEnd w:id="0"/>
    </w:p>
    <w:p w14:paraId="49D3D0F8" w14:textId="4841DAC5"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1. </w:t>
      </w:r>
      <w:r w:rsidRPr="00C86A70">
        <w:rPr>
          <w:rFonts w:ascii="Roboto" w:eastAsia="Times New Roman" w:hAnsi="Roboto" w:cs="Times New Roman"/>
          <w:b/>
          <w:bCs/>
          <w:color w:val="000000"/>
          <w:sz w:val="21"/>
          <w:szCs w:val="21"/>
          <w:lang w:eastAsia="en-GB"/>
        </w:rPr>
        <w:t>Dose-Controlled Script Training for Aphasia: A Quasi-Randomized Pilot Clinical Trial Examining Treatment Frequency.</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xml:space="preserve"> Cherney, Leora </w:t>
      </w:r>
      <w:proofErr w:type="spellStart"/>
      <w:proofErr w:type="gramStart"/>
      <w:r w:rsidRPr="00C86A70">
        <w:rPr>
          <w:rFonts w:ascii="Roboto" w:eastAsia="Times New Roman" w:hAnsi="Roboto" w:cs="Times New Roman"/>
          <w:color w:val="000000"/>
          <w:sz w:val="21"/>
          <w:szCs w:val="21"/>
          <w:lang w:eastAsia="en-GB"/>
        </w:rPr>
        <w:t>R.;Diedrichs</w:t>
      </w:r>
      <w:proofErr w:type="spellEnd"/>
      <w:proofErr w:type="gramEnd"/>
      <w:r w:rsidRPr="00C86A70">
        <w:rPr>
          <w:rFonts w:ascii="Roboto" w:eastAsia="Times New Roman" w:hAnsi="Roboto" w:cs="Times New Roman"/>
          <w:color w:val="000000"/>
          <w:sz w:val="21"/>
          <w:szCs w:val="21"/>
          <w:lang w:eastAsia="en-GB"/>
        </w:rPr>
        <w:t xml:space="preserve">, Victoria </w:t>
      </w:r>
      <w:proofErr w:type="spellStart"/>
      <w:proofErr w:type="gramStart"/>
      <w:r w:rsidRPr="00C86A70">
        <w:rPr>
          <w:rFonts w:ascii="Roboto" w:eastAsia="Times New Roman" w:hAnsi="Roboto" w:cs="Times New Roman"/>
          <w:color w:val="000000"/>
          <w:sz w:val="21"/>
          <w:szCs w:val="21"/>
          <w:lang w:eastAsia="en-GB"/>
        </w:rPr>
        <w:t>A.;Kinsey</w:t>
      </w:r>
      <w:proofErr w:type="spellEnd"/>
      <w:proofErr w:type="gramEnd"/>
      <w:r w:rsidRPr="00C86A70">
        <w:rPr>
          <w:rFonts w:ascii="Roboto" w:eastAsia="Times New Roman" w:hAnsi="Roboto" w:cs="Times New Roman"/>
          <w:color w:val="000000"/>
          <w:sz w:val="21"/>
          <w:szCs w:val="21"/>
          <w:lang w:eastAsia="en-GB"/>
        </w:rPr>
        <w:t>, Laura E. and Quique, Yina M.</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Aug 05 ,2026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lastRenderedPageBreak/>
        <w:t>Journal: </w:t>
      </w:r>
      <w:r w:rsidRPr="00C86A70">
        <w:rPr>
          <w:rFonts w:ascii="Roboto" w:eastAsia="Times New Roman" w:hAnsi="Roboto" w:cs="Times New Roman"/>
          <w:color w:val="000000"/>
          <w:sz w:val="21"/>
          <w:szCs w:val="21"/>
          <w:lang w:eastAsia="en-GB"/>
        </w:rPr>
        <w:t>American Journal of Speech-Language Pathology 1-23</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PURPOSE</w:t>
      </w:r>
      <w:r w:rsidRPr="00C86A70">
        <w:rPr>
          <w:rFonts w:ascii="Roboto" w:eastAsia="Times New Roman" w:hAnsi="Roboto" w:cs="Times New Roman"/>
          <w:color w:val="000000"/>
          <w:sz w:val="21"/>
          <w:szCs w:val="21"/>
          <w:lang w:eastAsia="en-GB"/>
        </w:rPr>
        <w:t>: The optimal schedule for delivering a given aphasia treatment is unknown. Competing theories suggest that both intensive (i.e., massed) and distributed (i.e., spaced) treatment schedules have benefits. Moreover, studies that have begun to investigate optimal delivery schedules have emphasized treatments for single-word retrieval rather than treatments that target connected language and have greater potential for generalization. The present study compared outcomes from three conditions of a script-training treatment, varying in session frequency. </w:t>
      </w:r>
      <w:r w:rsidRPr="00C86A70">
        <w:rPr>
          <w:rFonts w:ascii="Roboto" w:eastAsia="Times New Roman" w:hAnsi="Roboto" w:cs="Times New Roman"/>
          <w:b/>
          <w:bCs/>
          <w:color w:val="000000"/>
          <w:sz w:val="21"/>
          <w:szCs w:val="21"/>
          <w:lang w:eastAsia="en-GB"/>
        </w:rPr>
        <w:t>METHOD</w:t>
      </w:r>
      <w:r w:rsidRPr="00C86A70">
        <w:rPr>
          <w:rFonts w:ascii="Roboto" w:eastAsia="Times New Roman" w:hAnsi="Roboto" w:cs="Times New Roman"/>
          <w:color w:val="000000"/>
          <w:sz w:val="21"/>
          <w:szCs w:val="21"/>
          <w:lang w:eastAsia="en-GB"/>
        </w:rPr>
        <w:t xml:space="preserve">: Participants were 45 adults with chronic poststroke aphasia (3 months poststroke). All study activities took place at an urban freestanding rehabilitation </w:t>
      </w:r>
      <w:proofErr w:type="spellStart"/>
      <w:r w:rsidRPr="00C86A70">
        <w:rPr>
          <w:rFonts w:ascii="Roboto" w:eastAsia="Times New Roman" w:hAnsi="Roboto" w:cs="Times New Roman"/>
          <w:color w:val="000000"/>
          <w:sz w:val="21"/>
          <w:szCs w:val="21"/>
          <w:lang w:eastAsia="en-GB"/>
        </w:rPr>
        <w:t>center</w:t>
      </w:r>
      <w:proofErr w:type="spellEnd"/>
      <w:r w:rsidRPr="00C86A70">
        <w:rPr>
          <w:rFonts w:ascii="Roboto" w:eastAsia="Times New Roman" w:hAnsi="Roboto" w:cs="Times New Roman"/>
          <w:color w:val="000000"/>
          <w:sz w:val="21"/>
          <w:szCs w:val="21"/>
          <w:lang w:eastAsia="en-GB"/>
        </w:rPr>
        <w:t>. This dose-controlled quasi-randomized pilot clinical trial involved six 1-hr sessions of computer-based script training in each of three conditions: standard (two sessions per week for 3 weeks; </w:t>
      </w:r>
      <w:r w:rsidRPr="00C86A70">
        <w:rPr>
          <w:rFonts w:ascii="Roboto" w:eastAsia="Times New Roman" w:hAnsi="Roboto" w:cs="Times New Roman"/>
          <w:i/>
          <w:iCs/>
          <w:color w:val="000000"/>
          <w:sz w:val="21"/>
          <w:szCs w:val="21"/>
          <w:lang w:eastAsia="en-GB"/>
        </w:rPr>
        <w:t>n</w:t>
      </w:r>
      <w:r w:rsidRPr="00C86A70">
        <w:rPr>
          <w:rFonts w:ascii="Roboto" w:eastAsia="Times New Roman" w:hAnsi="Roboto" w:cs="Times New Roman"/>
          <w:color w:val="000000"/>
          <w:sz w:val="21"/>
          <w:szCs w:val="21"/>
          <w:lang w:eastAsia="en-GB"/>
        </w:rPr>
        <w:t> = 15), intensive (three sessions per week for 2 weeks; </w:t>
      </w:r>
      <w:r w:rsidRPr="00C86A70">
        <w:rPr>
          <w:rFonts w:ascii="Roboto" w:eastAsia="Times New Roman" w:hAnsi="Roboto" w:cs="Times New Roman"/>
          <w:i/>
          <w:iCs/>
          <w:color w:val="000000"/>
          <w:sz w:val="21"/>
          <w:szCs w:val="21"/>
          <w:lang w:eastAsia="en-GB"/>
        </w:rPr>
        <w:t>n</w:t>
      </w:r>
      <w:r w:rsidRPr="00C86A70">
        <w:rPr>
          <w:rFonts w:ascii="Roboto" w:eastAsia="Times New Roman" w:hAnsi="Roboto" w:cs="Times New Roman"/>
          <w:color w:val="000000"/>
          <w:sz w:val="21"/>
          <w:szCs w:val="21"/>
          <w:lang w:eastAsia="en-GB"/>
        </w:rPr>
        <w:t> = 15), and attenuating (three sessions in the first week, two sessions in the second week, and one session in the third week; </w:t>
      </w:r>
      <w:r w:rsidRPr="00C86A70">
        <w:rPr>
          <w:rFonts w:ascii="Roboto" w:eastAsia="Times New Roman" w:hAnsi="Roboto" w:cs="Times New Roman"/>
          <w:i/>
          <w:iCs/>
          <w:color w:val="000000"/>
          <w:sz w:val="21"/>
          <w:szCs w:val="21"/>
          <w:lang w:eastAsia="en-GB"/>
        </w:rPr>
        <w:t>n</w:t>
      </w:r>
      <w:r w:rsidRPr="00C86A70">
        <w:rPr>
          <w:rFonts w:ascii="Roboto" w:eastAsia="Times New Roman" w:hAnsi="Roboto" w:cs="Times New Roman"/>
          <w:color w:val="000000"/>
          <w:sz w:val="21"/>
          <w:szCs w:val="21"/>
          <w:lang w:eastAsia="en-GB"/>
        </w:rPr>
        <w:t xml:space="preserve"> = 15). Treatment was delivered via the </w:t>
      </w:r>
      <w:proofErr w:type="spellStart"/>
      <w:r w:rsidRPr="00C86A70">
        <w:rPr>
          <w:rFonts w:ascii="Roboto" w:eastAsia="Times New Roman" w:hAnsi="Roboto" w:cs="Times New Roman"/>
          <w:color w:val="000000"/>
          <w:sz w:val="21"/>
          <w:szCs w:val="21"/>
          <w:lang w:eastAsia="en-GB"/>
        </w:rPr>
        <w:t>AphasiaScripts</w:t>
      </w:r>
      <w:proofErr w:type="spellEnd"/>
      <w:r w:rsidRPr="00C86A70">
        <w:rPr>
          <w:rFonts w:ascii="Roboto" w:eastAsia="Times New Roman" w:hAnsi="Roboto" w:cs="Times New Roman"/>
          <w:color w:val="000000"/>
          <w:sz w:val="21"/>
          <w:szCs w:val="21"/>
          <w:lang w:eastAsia="en-GB"/>
        </w:rPr>
        <w:t xml:space="preserve"> software, which involved repeated practice of each sentence from a scripted conversation with a virtual clinician. Outcome measures included the proportion of correct to total possible words in the script (i.e., accuracy), duration of script production (i.e., rate), and the percentage of correct essential information units during a conversation with a novel communication partner (i.e., stimulus generalization). Outcomes were </w:t>
      </w:r>
      <w:proofErr w:type="spellStart"/>
      <w:r w:rsidRPr="00C86A70">
        <w:rPr>
          <w:rFonts w:ascii="Roboto" w:eastAsia="Times New Roman" w:hAnsi="Roboto" w:cs="Times New Roman"/>
          <w:color w:val="000000"/>
          <w:sz w:val="21"/>
          <w:szCs w:val="21"/>
          <w:lang w:eastAsia="en-GB"/>
        </w:rPr>
        <w:t>analyzed</w:t>
      </w:r>
      <w:proofErr w:type="spellEnd"/>
      <w:r w:rsidRPr="00C86A70">
        <w:rPr>
          <w:rFonts w:ascii="Roboto" w:eastAsia="Times New Roman" w:hAnsi="Roboto" w:cs="Times New Roman"/>
          <w:color w:val="000000"/>
          <w:sz w:val="21"/>
          <w:szCs w:val="21"/>
          <w:lang w:eastAsia="en-GB"/>
        </w:rPr>
        <w:t xml:space="preserve"> using Bayesian linear mixed-effects models for accuracy, speech rate, and generalization of essential information units.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The main effects of treatment, regardless of condition, were positive between baseline and posttreatment, as well as between baseline and 1, 2, and 4 weeks posttreatment (follow-up). There were no statistical differences in the main effects of accuracy or rate between conditions and no interaction effects. The main effects of generalization, regardless of condition, were not statistically reliable between baseline and posttreatment but were positive between baseline and follow-up 4 weeks after treatment. </w:t>
      </w:r>
      <w:r w:rsidRPr="00C86A70">
        <w:rPr>
          <w:rFonts w:ascii="Roboto" w:eastAsia="Times New Roman" w:hAnsi="Roboto" w:cs="Times New Roman"/>
          <w:b/>
          <w:bCs/>
          <w:color w:val="000000"/>
          <w:sz w:val="21"/>
          <w:szCs w:val="21"/>
          <w:lang w:eastAsia="en-GB"/>
        </w:rPr>
        <w:t>CONCLUSIONS</w:t>
      </w:r>
      <w:r w:rsidRPr="00C86A70">
        <w:rPr>
          <w:rFonts w:ascii="Roboto" w:eastAsia="Times New Roman" w:hAnsi="Roboto" w:cs="Times New Roman"/>
          <w:color w:val="000000"/>
          <w:sz w:val="21"/>
          <w:szCs w:val="21"/>
          <w:lang w:eastAsia="en-GB"/>
        </w:rPr>
        <w:t>: Results suggested that, given six 1-hr script-training treatment sessions, session frequency did not influence outcomes in terms of accuracy, rate, or generalization. Rather, all three frequency conditions produced statistically reliable positive treatment effects. </w:t>
      </w:r>
      <w:r w:rsidRPr="00C86A70">
        <w:rPr>
          <w:rFonts w:ascii="Roboto" w:eastAsia="Times New Roman" w:hAnsi="Roboto" w:cs="Times New Roman"/>
          <w:b/>
          <w:bCs/>
          <w:color w:val="000000"/>
          <w:sz w:val="21"/>
          <w:szCs w:val="21"/>
          <w:lang w:eastAsia="en-GB"/>
        </w:rPr>
        <w:t>SUPPLEMENTAL MATERIAL</w:t>
      </w:r>
      <w:r w:rsidRPr="00C86A70">
        <w:rPr>
          <w:rFonts w:ascii="Roboto" w:eastAsia="Times New Roman" w:hAnsi="Roboto" w:cs="Times New Roman"/>
          <w:color w:val="000000"/>
          <w:sz w:val="21"/>
          <w:szCs w:val="21"/>
          <w:lang w:eastAsia="en-GB"/>
        </w:rPr>
        <w:t>: </w:t>
      </w:r>
      <w:hyperlink r:id="rId7" w:tgtFrame="_blank" w:history="1">
        <w:r w:rsidRPr="00C86A70">
          <w:rPr>
            <w:rFonts w:ascii="Roboto" w:eastAsia="Times New Roman" w:hAnsi="Roboto" w:cs="Times New Roman"/>
            <w:color w:val="0066CC"/>
            <w:sz w:val="21"/>
            <w:szCs w:val="21"/>
            <w:lang w:eastAsia="en-GB"/>
          </w:rPr>
          <w:t>https://doi.org/10.23641/asha.33023660.</w:t>
        </w:r>
      </w:hyperlink>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8" w:tgtFrame="_blank" w:history="1">
        <w:r w:rsidRPr="00C86A70">
          <w:rPr>
            <w:rFonts w:ascii="Roboto" w:eastAsia="Times New Roman" w:hAnsi="Roboto" w:cs="Times New Roman"/>
            <w:color w:val="0066CC"/>
            <w:sz w:val="21"/>
            <w:szCs w:val="21"/>
            <w:lang w:eastAsia="en-GB"/>
          </w:rPr>
          <w:t>https://libkey.io/10.1044/2026_AJSLP-25-00603</w:t>
        </w:r>
      </w:hyperlink>
    </w:p>
    <w:p w14:paraId="5E04A7CA" w14:textId="21728FD6"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2. </w:t>
      </w:r>
      <w:r w:rsidRPr="00C86A70">
        <w:rPr>
          <w:rFonts w:ascii="Roboto" w:eastAsia="Times New Roman" w:hAnsi="Roboto" w:cs="Times New Roman"/>
          <w:b/>
          <w:bCs/>
          <w:color w:val="000000"/>
          <w:sz w:val="21"/>
          <w:szCs w:val="21"/>
          <w:lang w:eastAsia="en-GB"/>
        </w:rPr>
        <w:t xml:space="preserve">"It's Hard </w:t>
      </w:r>
      <w:proofErr w:type="spellStart"/>
      <w:r w:rsidRPr="00C86A70">
        <w:rPr>
          <w:rFonts w:ascii="Roboto" w:eastAsia="Times New Roman" w:hAnsi="Roboto" w:cs="Times New Roman"/>
          <w:b/>
          <w:bCs/>
          <w:color w:val="000000"/>
          <w:sz w:val="21"/>
          <w:szCs w:val="21"/>
          <w:lang w:eastAsia="en-GB"/>
        </w:rPr>
        <w:t>Hard</w:t>
      </w:r>
      <w:proofErr w:type="spellEnd"/>
      <w:r w:rsidRPr="00C86A70">
        <w:rPr>
          <w:rFonts w:ascii="Roboto" w:eastAsia="Times New Roman" w:hAnsi="Roboto" w:cs="Times New Roman"/>
          <w:b/>
          <w:bCs/>
          <w:color w:val="000000"/>
          <w:sz w:val="21"/>
          <w:szCs w:val="21"/>
          <w:lang w:eastAsia="en-GB"/>
        </w:rPr>
        <w:t xml:space="preserve"> to Hard to Make It That Way. But You Gotta Make It All Different Levels": Making Aphasia Groups Work </w:t>
      </w:r>
      <w:proofErr w:type="gramStart"/>
      <w:r w:rsidRPr="00C86A70">
        <w:rPr>
          <w:rFonts w:ascii="Roboto" w:eastAsia="Times New Roman" w:hAnsi="Roboto" w:cs="Times New Roman"/>
          <w:b/>
          <w:bCs/>
          <w:color w:val="000000"/>
          <w:sz w:val="21"/>
          <w:szCs w:val="21"/>
          <w:lang w:eastAsia="en-GB"/>
        </w:rPr>
        <w:t>From</w:t>
      </w:r>
      <w:proofErr w:type="gramEnd"/>
      <w:r w:rsidRPr="00C86A70">
        <w:rPr>
          <w:rFonts w:ascii="Roboto" w:eastAsia="Times New Roman" w:hAnsi="Roboto" w:cs="Times New Roman"/>
          <w:b/>
          <w:bCs/>
          <w:color w:val="000000"/>
          <w:sz w:val="21"/>
          <w:szCs w:val="21"/>
          <w:lang w:eastAsia="en-GB"/>
        </w:rPr>
        <w:t xml:space="preserve"> the Perspective of People </w:t>
      </w:r>
      <w:proofErr w:type="gramStart"/>
      <w:r w:rsidRPr="00C86A70">
        <w:rPr>
          <w:rFonts w:ascii="Roboto" w:eastAsia="Times New Roman" w:hAnsi="Roboto" w:cs="Times New Roman"/>
          <w:b/>
          <w:bCs/>
          <w:color w:val="000000"/>
          <w:sz w:val="21"/>
          <w:szCs w:val="21"/>
          <w:lang w:eastAsia="en-GB"/>
        </w:rPr>
        <w:t>With</w:t>
      </w:r>
      <w:proofErr w:type="gramEnd"/>
      <w:r w:rsidRPr="00C86A70">
        <w:rPr>
          <w:rFonts w:ascii="Roboto" w:eastAsia="Times New Roman" w:hAnsi="Roboto" w:cs="Times New Roman"/>
          <w:b/>
          <w:bCs/>
          <w:color w:val="000000"/>
          <w:sz w:val="21"/>
          <w:szCs w:val="21"/>
          <w:lang w:eastAsia="en-GB"/>
        </w:rPr>
        <w:t xml:space="preserve"> Severe Aphasia.</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Gulick, Eleanor and Archer, Brent E.</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Aug 24 ,2026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American Journal of Speech-Language Pathology 1-17</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PURPOSE</w:t>
      </w:r>
      <w:r w:rsidRPr="00C86A70">
        <w:rPr>
          <w:rFonts w:ascii="Roboto" w:eastAsia="Times New Roman" w:hAnsi="Roboto" w:cs="Times New Roman"/>
          <w:color w:val="000000"/>
          <w:sz w:val="21"/>
          <w:szCs w:val="21"/>
          <w:lang w:eastAsia="en-GB"/>
        </w:rPr>
        <w:t>: Facilitators require further guidance on best practices to support people with severe aphasia (PWSA) who attend their aphasia groups. In this study, we position PWSA as experts who can inform future research and practice patterns. The aim of this study was to explore the ideas PWSA have regarding how aphasia groups should function with a specific focus on aspects that relate to meeting their needs, given the severity of their aphasia. </w:t>
      </w:r>
      <w:r w:rsidRPr="00C86A70">
        <w:rPr>
          <w:rFonts w:ascii="Roboto" w:eastAsia="Times New Roman" w:hAnsi="Roboto" w:cs="Times New Roman"/>
          <w:b/>
          <w:bCs/>
          <w:color w:val="000000"/>
          <w:sz w:val="21"/>
          <w:szCs w:val="21"/>
          <w:lang w:eastAsia="en-GB"/>
        </w:rPr>
        <w:t>METHOD</w:t>
      </w:r>
      <w:r w:rsidRPr="00C86A70">
        <w:rPr>
          <w:rFonts w:ascii="Roboto" w:eastAsia="Times New Roman" w:hAnsi="Roboto" w:cs="Times New Roman"/>
          <w:color w:val="000000"/>
          <w:sz w:val="21"/>
          <w:szCs w:val="21"/>
          <w:lang w:eastAsia="en-GB"/>
        </w:rPr>
        <w:t xml:space="preserve">: We </w:t>
      </w:r>
      <w:proofErr w:type="spellStart"/>
      <w:r w:rsidRPr="00C86A70">
        <w:rPr>
          <w:rFonts w:ascii="Roboto" w:eastAsia="Times New Roman" w:hAnsi="Roboto" w:cs="Times New Roman"/>
          <w:color w:val="000000"/>
          <w:sz w:val="21"/>
          <w:szCs w:val="21"/>
          <w:lang w:eastAsia="en-GB"/>
        </w:rPr>
        <w:t>analyzed</w:t>
      </w:r>
      <w:proofErr w:type="spellEnd"/>
      <w:r w:rsidRPr="00C86A70">
        <w:rPr>
          <w:rFonts w:ascii="Roboto" w:eastAsia="Times New Roman" w:hAnsi="Roboto" w:cs="Times New Roman"/>
          <w:color w:val="000000"/>
          <w:sz w:val="21"/>
          <w:szCs w:val="21"/>
          <w:lang w:eastAsia="en-GB"/>
        </w:rPr>
        <w:t xml:space="preserve"> data from interviews with five PWSA that were completed as part of a larger project. For this study, we used qualitative content analysis with a descriptive explorative approach, grounded in a constructivist paradigm. This approach seeks low-inference interpretation to richly describe experiences, events, and processes in an accurate and easy to understand manner.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xml:space="preserve">: Findings highlight two main categories, group makeup and supported group interaction, as key factors in the </w:t>
      </w:r>
      <w:r w:rsidRPr="00C86A70">
        <w:rPr>
          <w:rFonts w:ascii="Roboto" w:eastAsia="Times New Roman" w:hAnsi="Roboto" w:cs="Times New Roman"/>
          <w:color w:val="000000"/>
          <w:sz w:val="21"/>
          <w:szCs w:val="21"/>
          <w:lang w:eastAsia="en-GB"/>
        </w:rPr>
        <w:lastRenderedPageBreak/>
        <w:t xml:space="preserve">aphasia group experience for PWSA. We identified five secondary and 15 further embedded subcategories capturing how decisions and </w:t>
      </w:r>
      <w:proofErr w:type="spellStart"/>
      <w:r w:rsidRPr="00C86A70">
        <w:rPr>
          <w:rFonts w:ascii="Roboto" w:eastAsia="Times New Roman" w:hAnsi="Roboto" w:cs="Times New Roman"/>
          <w:color w:val="000000"/>
          <w:sz w:val="21"/>
          <w:szCs w:val="21"/>
          <w:lang w:eastAsia="en-GB"/>
        </w:rPr>
        <w:t>behaviors</w:t>
      </w:r>
      <w:proofErr w:type="spellEnd"/>
      <w:r w:rsidRPr="00C86A70">
        <w:rPr>
          <w:rFonts w:ascii="Roboto" w:eastAsia="Times New Roman" w:hAnsi="Roboto" w:cs="Times New Roman"/>
          <w:color w:val="000000"/>
          <w:sz w:val="21"/>
          <w:szCs w:val="21"/>
          <w:lang w:eastAsia="en-GB"/>
        </w:rPr>
        <w:t xml:space="preserve"> of facilitators and other group members impact the experience of PWSA in aphasia groups, as well as how varied tools are required to support them in different contexts. </w:t>
      </w:r>
      <w:r w:rsidRPr="00C86A70">
        <w:rPr>
          <w:rFonts w:ascii="Roboto" w:eastAsia="Times New Roman" w:hAnsi="Roboto" w:cs="Times New Roman"/>
          <w:b/>
          <w:bCs/>
          <w:color w:val="000000"/>
          <w:sz w:val="21"/>
          <w:szCs w:val="21"/>
          <w:lang w:eastAsia="en-GB"/>
        </w:rPr>
        <w:t>DISCUSSION</w:t>
      </w:r>
      <w:r w:rsidRPr="00C86A70">
        <w:rPr>
          <w:rFonts w:ascii="Roboto" w:eastAsia="Times New Roman" w:hAnsi="Roboto" w:cs="Times New Roman"/>
          <w:color w:val="000000"/>
          <w:sz w:val="21"/>
          <w:szCs w:val="21"/>
          <w:lang w:eastAsia="en-GB"/>
        </w:rPr>
        <w:t>: Participants' insights highlight the dynamic characteristics of aphasia groups, as they shared that specific approaches or supports should be implemented in one context while another decision should be made when the context changes. Perspectives of PWSA captured in this project provide groundwork for continued research that is informed by community members' values and needs while providing immediate insight that practicing facilitators can consider implementing in the groups with which they work. </w:t>
      </w:r>
      <w:r w:rsidRPr="00C86A70">
        <w:rPr>
          <w:rFonts w:ascii="Roboto" w:eastAsia="Times New Roman" w:hAnsi="Roboto" w:cs="Times New Roman"/>
          <w:b/>
          <w:bCs/>
          <w:color w:val="000000"/>
          <w:sz w:val="21"/>
          <w:szCs w:val="21"/>
          <w:lang w:eastAsia="en-GB"/>
        </w:rPr>
        <w:t>SUPPLEMENTAL MATERIAL</w:t>
      </w:r>
      <w:r w:rsidRPr="00C86A70">
        <w:rPr>
          <w:rFonts w:ascii="Roboto" w:eastAsia="Times New Roman" w:hAnsi="Roboto" w:cs="Times New Roman"/>
          <w:color w:val="000000"/>
          <w:sz w:val="21"/>
          <w:szCs w:val="21"/>
          <w:lang w:eastAsia="en-GB"/>
        </w:rPr>
        <w:t>: </w:t>
      </w:r>
      <w:hyperlink r:id="rId9" w:tgtFrame="_blank" w:history="1">
        <w:r w:rsidRPr="00C86A70">
          <w:rPr>
            <w:rFonts w:ascii="Roboto" w:eastAsia="Times New Roman" w:hAnsi="Roboto" w:cs="Times New Roman"/>
            <w:color w:val="0066CC"/>
            <w:sz w:val="21"/>
            <w:szCs w:val="21"/>
            <w:lang w:eastAsia="en-GB"/>
          </w:rPr>
          <w:t>https://doi.org/10.23641/asha.33230481.</w:t>
        </w:r>
      </w:hyperlink>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10" w:tgtFrame="_blank" w:history="1">
        <w:r w:rsidRPr="00C86A70">
          <w:rPr>
            <w:rFonts w:ascii="Roboto" w:eastAsia="Times New Roman" w:hAnsi="Roboto" w:cs="Times New Roman"/>
            <w:color w:val="0066CC"/>
            <w:sz w:val="21"/>
            <w:szCs w:val="21"/>
            <w:lang w:eastAsia="en-GB"/>
          </w:rPr>
          <w:t>https://libkey.io/10.1044/2026_AJSLP-25-00435</w:t>
        </w:r>
      </w:hyperlink>
    </w:p>
    <w:p w14:paraId="73A5C739" w14:textId="4304B72B"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3. </w:t>
      </w:r>
      <w:r w:rsidRPr="00C86A70">
        <w:rPr>
          <w:rFonts w:ascii="Roboto" w:eastAsia="Times New Roman" w:hAnsi="Roboto" w:cs="Times New Roman"/>
          <w:b/>
          <w:bCs/>
          <w:color w:val="000000"/>
          <w:sz w:val="21"/>
          <w:szCs w:val="21"/>
          <w:lang w:eastAsia="en-GB"/>
        </w:rPr>
        <w:t>Aphasia severity mediates the relationship between attention and sentence comprehension.</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Lenz, Emily J. and LaCroix, Arianna N.</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Aphasiology</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Background</w:t>
      </w:r>
      <w:r w:rsidRPr="00C86A70">
        <w:rPr>
          <w:rFonts w:ascii="Roboto" w:eastAsia="Times New Roman" w:hAnsi="Roboto" w:cs="Times New Roman"/>
          <w:color w:val="000000"/>
          <w:sz w:val="21"/>
          <w:szCs w:val="21"/>
          <w:lang w:eastAsia="en-GB"/>
        </w:rPr>
        <w:t>: Prior studies report mixed associations between attention and language in people with aphasia (PWA), raising the possibility that their relationship may be influenced by another factor, such as aphasia severity. We examined this possibility by testing whether alerting, orienting, and executive control attention vary as a function of aphasia severity and whether severity statistically mediates their association with sentence comprehension. </w:t>
      </w:r>
      <w:r w:rsidRPr="00C86A70">
        <w:rPr>
          <w:rFonts w:ascii="Roboto" w:eastAsia="Times New Roman" w:hAnsi="Roboto" w:cs="Times New Roman"/>
          <w:b/>
          <w:bCs/>
          <w:color w:val="000000"/>
          <w:sz w:val="21"/>
          <w:szCs w:val="21"/>
          <w:lang w:eastAsia="en-GB"/>
        </w:rPr>
        <w:t>Methods</w:t>
      </w:r>
      <w:r w:rsidRPr="00C86A70">
        <w:rPr>
          <w:rFonts w:ascii="Roboto" w:eastAsia="Times New Roman" w:hAnsi="Roboto" w:cs="Times New Roman"/>
          <w:color w:val="000000"/>
          <w:sz w:val="21"/>
          <w:szCs w:val="21"/>
          <w:lang w:eastAsia="en-GB"/>
        </w:rPr>
        <w:t xml:space="preserve">: In a retrospective analysis combining data from two prior studies, 58 individuals with aphasia, ranging from latent to severe, and 21 neurotypical controls completed the Attention Network Test and a sentence-picture matching task. Group differences in attention were assessed using ANOVAs, and linear mixed-effects models evaluated the presence of each attentional effect within groups. Correlations and structural equation </w:t>
      </w:r>
      <w:proofErr w:type="spellStart"/>
      <w:r w:rsidRPr="00C86A70">
        <w:rPr>
          <w:rFonts w:ascii="Roboto" w:eastAsia="Times New Roman" w:hAnsi="Roboto" w:cs="Times New Roman"/>
          <w:color w:val="000000"/>
          <w:sz w:val="21"/>
          <w:szCs w:val="21"/>
          <w:lang w:eastAsia="en-GB"/>
        </w:rPr>
        <w:t>modeling</w:t>
      </w:r>
      <w:proofErr w:type="spellEnd"/>
      <w:r w:rsidRPr="00C86A70">
        <w:rPr>
          <w:rFonts w:ascii="Roboto" w:eastAsia="Times New Roman" w:hAnsi="Roboto" w:cs="Times New Roman"/>
          <w:color w:val="000000"/>
          <w:sz w:val="21"/>
          <w:szCs w:val="21"/>
          <w:lang w:eastAsia="en-GB"/>
        </w:rPr>
        <w:t xml:space="preserve"> examined associations among attention, aphasia severity, and sentence comprehension.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All three attention types were present in the control and mild aphasia groups; only orienting and executive control were observed in the latent group, and only executive control in the moderate and severe groups. Orienting and executive control performance declined with increasing aphasia severity, whereas alerting did not differ by severity. Stronger orienting and executive control were associated with more efficient sentence comprehension, but this relationship was statistically mediated by aphasia severity. </w:t>
      </w:r>
      <w:r w:rsidRPr="00C86A70">
        <w:rPr>
          <w:rFonts w:ascii="Roboto" w:eastAsia="Times New Roman" w:hAnsi="Roboto" w:cs="Times New Roman"/>
          <w:b/>
          <w:bCs/>
          <w:color w:val="000000"/>
          <w:sz w:val="21"/>
          <w:szCs w:val="21"/>
          <w:lang w:eastAsia="en-GB"/>
        </w:rPr>
        <w:t>Conclusions</w:t>
      </w:r>
      <w:r w:rsidRPr="00C86A70">
        <w:rPr>
          <w:rFonts w:ascii="Roboto" w:eastAsia="Times New Roman" w:hAnsi="Roboto" w:cs="Times New Roman"/>
          <w:color w:val="000000"/>
          <w:sz w:val="21"/>
          <w:szCs w:val="21"/>
          <w:lang w:eastAsia="en-GB"/>
        </w:rPr>
        <w:t>: These findings suggest that associations between domain-general attention and sentence comprehension are best understood within the broader context of aphasia severity and highlight the need for future research clarifying the directionality of this relationship.</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11" w:tgtFrame="_blank" w:history="1">
        <w:r w:rsidRPr="00C86A70">
          <w:rPr>
            <w:rFonts w:ascii="Roboto" w:eastAsia="Times New Roman" w:hAnsi="Roboto" w:cs="Times New Roman"/>
            <w:color w:val="0066CC"/>
            <w:sz w:val="21"/>
            <w:szCs w:val="21"/>
            <w:lang w:eastAsia="en-GB"/>
          </w:rPr>
          <w:t>https://libkey.io/10.1080/02687038.2026.2671291</w:t>
        </w:r>
      </w:hyperlink>
    </w:p>
    <w:p w14:paraId="39D8C38D" w14:textId="26F3CFD4"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4. </w:t>
      </w:r>
      <w:r w:rsidRPr="00C86A70">
        <w:rPr>
          <w:rFonts w:ascii="Roboto" w:eastAsia="Times New Roman" w:hAnsi="Roboto" w:cs="Times New Roman"/>
          <w:b/>
          <w:bCs/>
          <w:color w:val="000000"/>
          <w:sz w:val="21"/>
          <w:szCs w:val="21"/>
          <w:lang w:eastAsia="en-GB"/>
        </w:rPr>
        <w:t>Retrospective Analysis of the Relationship Between Poststroke Fatigue and Aphasia Severity.</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xml:space="preserve"> Riley, Ellyn </w:t>
      </w:r>
      <w:proofErr w:type="spellStart"/>
      <w:proofErr w:type="gramStart"/>
      <w:r w:rsidRPr="00C86A70">
        <w:rPr>
          <w:rFonts w:ascii="Roboto" w:eastAsia="Times New Roman" w:hAnsi="Roboto" w:cs="Times New Roman"/>
          <w:color w:val="000000"/>
          <w:sz w:val="21"/>
          <w:szCs w:val="21"/>
          <w:lang w:eastAsia="en-GB"/>
        </w:rPr>
        <w:t>A.;Quique</w:t>
      </w:r>
      <w:proofErr w:type="spellEnd"/>
      <w:proofErr w:type="gramEnd"/>
      <w:r w:rsidRPr="00C86A70">
        <w:rPr>
          <w:rFonts w:ascii="Roboto" w:eastAsia="Times New Roman" w:hAnsi="Roboto" w:cs="Times New Roman"/>
          <w:color w:val="000000"/>
          <w:sz w:val="21"/>
          <w:szCs w:val="21"/>
          <w:lang w:eastAsia="en-GB"/>
        </w:rPr>
        <w:t xml:space="preserve">, Yina </w:t>
      </w:r>
      <w:proofErr w:type="spellStart"/>
      <w:proofErr w:type="gramStart"/>
      <w:r w:rsidRPr="00C86A70">
        <w:rPr>
          <w:rFonts w:ascii="Roboto" w:eastAsia="Times New Roman" w:hAnsi="Roboto" w:cs="Times New Roman"/>
          <w:color w:val="000000"/>
          <w:sz w:val="21"/>
          <w:szCs w:val="21"/>
          <w:lang w:eastAsia="en-GB"/>
        </w:rPr>
        <w:t>M.;Haley</w:t>
      </w:r>
      <w:proofErr w:type="spellEnd"/>
      <w:proofErr w:type="gramEnd"/>
      <w:r w:rsidRPr="00C86A70">
        <w:rPr>
          <w:rFonts w:ascii="Roboto" w:eastAsia="Times New Roman" w:hAnsi="Roboto" w:cs="Times New Roman"/>
          <w:color w:val="000000"/>
          <w:sz w:val="21"/>
          <w:szCs w:val="21"/>
          <w:lang w:eastAsia="en-GB"/>
        </w:rPr>
        <w:t xml:space="preserve">, Katarina </w:t>
      </w:r>
      <w:proofErr w:type="spellStart"/>
      <w:proofErr w:type="gramStart"/>
      <w:r w:rsidRPr="00C86A70">
        <w:rPr>
          <w:rFonts w:ascii="Roboto" w:eastAsia="Times New Roman" w:hAnsi="Roboto" w:cs="Times New Roman"/>
          <w:color w:val="000000"/>
          <w:sz w:val="21"/>
          <w:szCs w:val="21"/>
          <w:lang w:eastAsia="en-GB"/>
        </w:rPr>
        <w:t>L.;Jacks</w:t>
      </w:r>
      <w:proofErr w:type="spellEnd"/>
      <w:proofErr w:type="gramEnd"/>
      <w:r w:rsidRPr="00C86A70">
        <w:rPr>
          <w:rFonts w:ascii="Roboto" w:eastAsia="Times New Roman" w:hAnsi="Roboto" w:cs="Times New Roman"/>
          <w:color w:val="000000"/>
          <w:sz w:val="21"/>
          <w:szCs w:val="21"/>
          <w:lang w:eastAsia="en-GB"/>
        </w:rPr>
        <w:t>, Adam and Richardson, Jessica D.</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Archives of Physical Medicine &amp; Rehabilitation</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lastRenderedPageBreak/>
        <w:t>Abstract: OBJECTIVES</w:t>
      </w:r>
      <w:r w:rsidRPr="00C86A70">
        <w:rPr>
          <w:rFonts w:ascii="Roboto" w:eastAsia="Times New Roman" w:hAnsi="Roboto" w:cs="Times New Roman"/>
          <w:color w:val="000000"/>
          <w:sz w:val="21"/>
          <w:szCs w:val="21"/>
          <w:lang w:eastAsia="en-GB"/>
        </w:rPr>
        <w:t>: To characterize poststroke fatigue in people with aphasia and to investigate the relationship between aphasia severity and fatigue. </w:t>
      </w:r>
      <w:r w:rsidRPr="00C86A70">
        <w:rPr>
          <w:rFonts w:ascii="Roboto" w:eastAsia="Times New Roman" w:hAnsi="Roboto" w:cs="Times New Roman"/>
          <w:b/>
          <w:bCs/>
          <w:color w:val="000000"/>
          <w:sz w:val="21"/>
          <w:szCs w:val="21"/>
          <w:lang w:eastAsia="en-GB"/>
        </w:rPr>
        <w:t>DESIGN</w:t>
      </w:r>
      <w:r w:rsidRPr="00C86A70">
        <w:rPr>
          <w:rFonts w:ascii="Roboto" w:eastAsia="Times New Roman" w:hAnsi="Roboto" w:cs="Times New Roman"/>
          <w:color w:val="000000"/>
          <w:sz w:val="21"/>
          <w:szCs w:val="21"/>
          <w:lang w:eastAsia="en-GB"/>
        </w:rPr>
        <w:t>: Cross-sectional observational design. </w:t>
      </w:r>
      <w:r w:rsidRPr="00C86A70">
        <w:rPr>
          <w:rFonts w:ascii="Roboto" w:eastAsia="Times New Roman" w:hAnsi="Roboto" w:cs="Times New Roman"/>
          <w:b/>
          <w:bCs/>
          <w:color w:val="000000"/>
          <w:sz w:val="21"/>
          <w:szCs w:val="21"/>
          <w:lang w:eastAsia="en-GB"/>
        </w:rPr>
        <w:t>SETTING</w:t>
      </w:r>
      <w:r w:rsidRPr="00C86A70">
        <w:rPr>
          <w:rFonts w:ascii="Roboto" w:eastAsia="Times New Roman" w:hAnsi="Roboto" w:cs="Times New Roman"/>
          <w:color w:val="000000"/>
          <w:sz w:val="21"/>
          <w:szCs w:val="21"/>
          <w:lang w:eastAsia="en-GB"/>
        </w:rPr>
        <w:t>: University labs or clinic setting at 3 institutions in the United States, occasionally in participants' homes. </w:t>
      </w:r>
      <w:r w:rsidRPr="00C86A70">
        <w:rPr>
          <w:rFonts w:ascii="Roboto" w:eastAsia="Times New Roman" w:hAnsi="Roboto" w:cs="Times New Roman"/>
          <w:b/>
          <w:bCs/>
          <w:color w:val="000000"/>
          <w:sz w:val="21"/>
          <w:szCs w:val="21"/>
          <w:lang w:eastAsia="en-GB"/>
        </w:rPr>
        <w:t>PARTICIPANTS</w:t>
      </w:r>
      <w:r w:rsidRPr="00C86A70">
        <w:rPr>
          <w:rFonts w:ascii="Roboto" w:eastAsia="Times New Roman" w:hAnsi="Roboto" w:cs="Times New Roman"/>
          <w:color w:val="000000"/>
          <w:sz w:val="21"/>
          <w:szCs w:val="21"/>
          <w:lang w:eastAsia="en-GB"/>
        </w:rPr>
        <w:t xml:space="preserve">: Adults with chronic poststroke aphasia (N=73), with English reported as their primary language before stroke onset (mean age=59.4y; 61.6% men; mean time </w:t>
      </w:r>
      <w:proofErr w:type="spellStart"/>
      <w:r w:rsidRPr="00C86A70">
        <w:rPr>
          <w:rFonts w:ascii="Roboto" w:eastAsia="Times New Roman" w:hAnsi="Roboto" w:cs="Times New Roman"/>
          <w:color w:val="000000"/>
          <w:sz w:val="21"/>
          <w:szCs w:val="21"/>
          <w:lang w:eastAsia="en-GB"/>
        </w:rPr>
        <w:t>postonset</w:t>
      </w:r>
      <w:proofErr w:type="spellEnd"/>
      <w:r w:rsidRPr="00C86A70">
        <w:rPr>
          <w:rFonts w:ascii="Roboto" w:eastAsia="Times New Roman" w:hAnsi="Roboto" w:cs="Times New Roman"/>
          <w:color w:val="000000"/>
          <w:sz w:val="21"/>
          <w:szCs w:val="21"/>
          <w:lang w:eastAsia="en-GB"/>
        </w:rPr>
        <w:t>=44.4mo). Aphasia severity, as measured by the Western Aphasia Battery-Revised (WAB-R), ranged from severe to very mild (scores of 14.7-100), with the majority (over 68%) presenting with mild-to-moderate impairment (scores 76-100). </w:t>
      </w:r>
      <w:r w:rsidRPr="00C86A70">
        <w:rPr>
          <w:rFonts w:ascii="Roboto" w:eastAsia="Times New Roman" w:hAnsi="Roboto" w:cs="Times New Roman"/>
          <w:b/>
          <w:bCs/>
          <w:color w:val="000000"/>
          <w:sz w:val="21"/>
          <w:szCs w:val="21"/>
          <w:lang w:eastAsia="en-GB"/>
        </w:rPr>
        <w:t>INTERVENTIONS</w:t>
      </w:r>
      <w:r w:rsidRPr="00C86A70">
        <w:rPr>
          <w:rFonts w:ascii="Roboto" w:eastAsia="Times New Roman" w:hAnsi="Roboto" w:cs="Times New Roman"/>
          <w:color w:val="000000"/>
          <w:sz w:val="21"/>
          <w:szCs w:val="21"/>
          <w:lang w:eastAsia="en-GB"/>
        </w:rPr>
        <w:t>: Not applicable. </w:t>
      </w:r>
      <w:r w:rsidRPr="00C86A70">
        <w:rPr>
          <w:rFonts w:ascii="Roboto" w:eastAsia="Times New Roman" w:hAnsi="Roboto" w:cs="Times New Roman"/>
          <w:b/>
          <w:bCs/>
          <w:color w:val="000000"/>
          <w:sz w:val="21"/>
          <w:szCs w:val="21"/>
          <w:lang w:eastAsia="en-GB"/>
        </w:rPr>
        <w:t>MAIN OUTCOME MEASURES</w:t>
      </w:r>
      <w:r w:rsidRPr="00C86A70">
        <w:rPr>
          <w:rFonts w:ascii="Roboto" w:eastAsia="Times New Roman" w:hAnsi="Roboto" w:cs="Times New Roman"/>
          <w:color w:val="000000"/>
          <w:sz w:val="21"/>
          <w:szCs w:val="21"/>
          <w:lang w:eastAsia="en-GB"/>
        </w:rPr>
        <w:t>: The WAB-R was used to measure aphasia severity (Aphasia Quotient). The Multidimensional Assessment of Fatigue measured poststroke fatigue using the Global Fatigue Index, consisting of 4 dimensions: severity, distress, interference, and timing.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Participants reported moderate ratings of fatigue across all Multidimensional Assessment of Fatigue dimensions, with substantial individual variability. Bayesian regression showed that higher WAB-R scores were associated with greater fatigue (beta=0.31; 95% credible interval, 0.06-0.55), but age and sex were not. </w:t>
      </w:r>
      <w:r w:rsidRPr="00C86A70">
        <w:rPr>
          <w:rFonts w:ascii="Roboto" w:eastAsia="Times New Roman" w:hAnsi="Roboto" w:cs="Times New Roman"/>
          <w:b/>
          <w:bCs/>
          <w:color w:val="000000"/>
          <w:sz w:val="21"/>
          <w:szCs w:val="21"/>
          <w:lang w:eastAsia="en-GB"/>
        </w:rPr>
        <w:t>CONCLUSIONS</w:t>
      </w:r>
      <w:r w:rsidRPr="00C86A70">
        <w:rPr>
          <w:rFonts w:ascii="Roboto" w:eastAsia="Times New Roman" w:hAnsi="Roboto" w:cs="Times New Roman"/>
          <w:color w:val="000000"/>
          <w:sz w:val="21"/>
          <w:szCs w:val="21"/>
          <w:lang w:eastAsia="en-GB"/>
        </w:rPr>
        <w:t>: Participants with milder aphasia reported greater poststroke fatigue than those with more severe impairments. These findings suggest that compensatory cognitive demands and elevated communication expectations that are associated with milder language deficits may contribute to increased fatigue burden. Results emphasize the need for routine fatigue screening across all aphasia severity levels and support reconceptualizing mild aphasia as potentially involving substantial hidden costs.</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t>Copyright © 2026 The Authors. Published by Elsevier Inc. All rights reserved.</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12" w:tgtFrame="_blank" w:history="1">
        <w:r w:rsidRPr="00C86A70">
          <w:rPr>
            <w:rFonts w:ascii="Roboto" w:eastAsia="Times New Roman" w:hAnsi="Roboto" w:cs="Times New Roman"/>
            <w:color w:val="0066CC"/>
            <w:sz w:val="21"/>
            <w:szCs w:val="21"/>
            <w:lang w:eastAsia="en-GB"/>
          </w:rPr>
          <w:t>https://libkey.io/10.1016/j.apmr.2026.07.002</w:t>
        </w:r>
      </w:hyperlink>
    </w:p>
    <w:p w14:paraId="4BD2DD27" w14:textId="7278BE5F"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5. </w:t>
      </w:r>
      <w:r w:rsidRPr="00C86A70">
        <w:rPr>
          <w:rFonts w:ascii="Roboto" w:eastAsia="Times New Roman" w:hAnsi="Roboto" w:cs="Times New Roman"/>
          <w:b/>
          <w:bCs/>
          <w:color w:val="000000"/>
          <w:sz w:val="21"/>
          <w:szCs w:val="21"/>
          <w:lang w:eastAsia="en-GB"/>
        </w:rPr>
        <w:t>Multimodal Communication in Progressive Aphasia: A Mixed-Methods Experience Sampling Study.</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w:t>
      </w:r>
      <w:proofErr w:type="spellStart"/>
      <w:r w:rsidRPr="00C86A70">
        <w:rPr>
          <w:rFonts w:ascii="Roboto" w:eastAsia="Times New Roman" w:hAnsi="Roboto" w:cs="Times New Roman"/>
          <w:color w:val="000000"/>
          <w:sz w:val="21"/>
          <w:szCs w:val="21"/>
          <w:lang w:eastAsia="en-GB"/>
        </w:rPr>
        <w:t>Robinaugh</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Gary;Millanski</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Carly;Tessmer</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Rachel;Wauters</w:t>
      </w:r>
      <w:proofErr w:type="spellEnd"/>
      <w:r w:rsidRPr="00C86A70">
        <w:rPr>
          <w:rFonts w:ascii="Roboto" w:eastAsia="Times New Roman" w:hAnsi="Roboto" w:cs="Times New Roman"/>
          <w:color w:val="000000"/>
          <w:sz w:val="21"/>
          <w:szCs w:val="21"/>
          <w:lang w:eastAsia="en-GB"/>
        </w:rPr>
        <w:t xml:space="preserve">, Lisa </w:t>
      </w:r>
      <w:proofErr w:type="spellStart"/>
      <w:r w:rsidRPr="00C86A70">
        <w:rPr>
          <w:rFonts w:ascii="Roboto" w:eastAsia="Times New Roman" w:hAnsi="Roboto" w:cs="Times New Roman"/>
          <w:color w:val="000000"/>
          <w:sz w:val="21"/>
          <w:szCs w:val="21"/>
          <w:lang w:eastAsia="en-GB"/>
        </w:rPr>
        <w:t>D.;Gonzalez-Howard</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Maria;Grasso</w:t>
      </w:r>
      <w:proofErr w:type="spellEnd"/>
      <w:r w:rsidRPr="00C86A70">
        <w:rPr>
          <w:rFonts w:ascii="Roboto" w:eastAsia="Times New Roman" w:hAnsi="Roboto" w:cs="Times New Roman"/>
          <w:color w:val="000000"/>
          <w:sz w:val="21"/>
          <w:szCs w:val="21"/>
          <w:lang w:eastAsia="en-GB"/>
        </w:rPr>
        <w:t>, Stephanie M. and Henry, Maya L.</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Aug 05 ,2026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American Journal of Speech-Language Pathology 1-20</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PURPOSE</w:t>
      </w:r>
      <w:r w:rsidRPr="00C86A70">
        <w:rPr>
          <w:rFonts w:ascii="Roboto" w:eastAsia="Times New Roman" w:hAnsi="Roboto" w:cs="Times New Roman"/>
          <w:color w:val="000000"/>
          <w:sz w:val="21"/>
          <w:szCs w:val="21"/>
          <w:lang w:eastAsia="en-GB"/>
        </w:rPr>
        <w:t xml:space="preserve">: This study aimed to evaluate the feasibility and acceptability of the experience sampling method (ESM) in characterizing the communication </w:t>
      </w:r>
      <w:proofErr w:type="spellStart"/>
      <w:r w:rsidRPr="00C86A70">
        <w:rPr>
          <w:rFonts w:ascii="Roboto" w:eastAsia="Times New Roman" w:hAnsi="Roboto" w:cs="Times New Roman"/>
          <w:color w:val="000000"/>
          <w:sz w:val="21"/>
          <w:szCs w:val="21"/>
          <w:lang w:eastAsia="en-GB"/>
        </w:rPr>
        <w:t>behaviors</w:t>
      </w:r>
      <w:proofErr w:type="spellEnd"/>
      <w:r w:rsidRPr="00C86A70">
        <w:rPr>
          <w:rFonts w:ascii="Roboto" w:eastAsia="Times New Roman" w:hAnsi="Roboto" w:cs="Times New Roman"/>
          <w:color w:val="000000"/>
          <w:sz w:val="21"/>
          <w:szCs w:val="21"/>
          <w:lang w:eastAsia="en-GB"/>
        </w:rPr>
        <w:t xml:space="preserve"> of individuals with primary progressive aphasia (PPA) and to characterize the use of different communication modalities by five participants with PPA and their care partners. </w:t>
      </w:r>
      <w:r w:rsidRPr="00C86A70">
        <w:rPr>
          <w:rFonts w:ascii="Roboto" w:eastAsia="Times New Roman" w:hAnsi="Roboto" w:cs="Times New Roman"/>
          <w:b/>
          <w:bCs/>
          <w:color w:val="000000"/>
          <w:sz w:val="21"/>
          <w:szCs w:val="21"/>
          <w:lang w:eastAsia="en-GB"/>
        </w:rPr>
        <w:t>METHOD</w:t>
      </w:r>
      <w:r w:rsidRPr="00C86A70">
        <w:rPr>
          <w:rFonts w:ascii="Roboto" w:eastAsia="Times New Roman" w:hAnsi="Roboto" w:cs="Times New Roman"/>
          <w:color w:val="000000"/>
          <w:sz w:val="21"/>
          <w:szCs w:val="21"/>
          <w:lang w:eastAsia="en-GB"/>
        </w:rPr>
        <w:t xml:space="preserve">: Five dyads (participant with PPA and care partner) completed </w:t>
      </w:r>
      <w:proofErr w:type="spellStart"/>
      <w:r w:rsidRPr="00C86A70">
        <w:rPr>
          <w:rFonts w:ascii="Roboto" w:eastAsia="Times New Roman" w:hAnsi="Roboto" w:cs="Times New Roman"/>
          <w:color w:val="000000"/>
          <w:sz w:val="21"/>
          <w:szCs w:val="21"/>
          <w:lang w:eastAsia="en-GB"/>
        </w:rPr>
        <w:t>semistructured</w:t>
      </w:r>
      <w:proofErr w:type="spellEnd"/>
      <w:r w:rsidRPr="00C86A70">
        <w:rPr>
          <w:rFonts w:ascii="Roboto" w:eastAsia="Times New Roman" w:hAnsi="Roboto" w:cs="Times New Roman"/>
          <w:color w:val="000000"/>
          <w:sz w:val="21"/>
          <w:szCs w:val="21"/>
          <w:lang w:eastAsia="en-GB"/>
        </w:rPr>
        <w:t xml:space="preserve"> interviews followed by a 1-week data collection period. Surveys were delivered twice daily to participants via texted links. Participants reported on their use of communication modalities (speech, gesture, writing, etc.). Feasibility was measured by retention and adherence to the response schedule; acceptability was evaluated using the System Usability Scale and a measure of care partner assistance. Patterns of modality usage across participants were </w:t>
      </w:r>
      <w:proofErr w:type="spellStart"/>
      <w:r w:rsidRPr="00C86A70">
        <w:rPr>
          <w:rFonts w:ascii="Roboto" w:eastAsia="Times New Roman" w:hAnsi="Roboto" w:cs="Times New Roman"/>
          <w:color w:val="000000"/>
          <w:sz w:val="21"/>
          <w:szCs w:val="21"/>
          <w:lang w:eastAsia="en-GB"/>
        </w:rPr>
        <w:t>analyzed</w:t>
      </w:r>
      <w:proofErr w:type="spellEnd"/>
      <w:r w:rsidRPr="00C86A70">
        <w:rPr>
          <w:rFonts w:ascii="Roboto" w:eastAsia="Times New Roman" w:hAnsi="Roboto" w:cs="Times New Roman"/>
          <w:color w:val="000000"/>
          <w:sz w:val="21"/>
          <w:szCs w:val="21"/>
          <w:lang w:eastAsia="en-GB"/>
        </w:rPr>
        <w:t xml:space="preserve"> visually, and interview data were </w:t>
      </w:r>
      <w:proofErr w:type="spellStart"/>
      <w:r w:rsidRPr="00C86A70">
        <w:rPr>
          <w:rFonts w:ascii="Roboto" w:eastAsia="Times New Roman" w:hAnsi="Roboto" w:cs="Times New Roman"/>
          <w:color w:val="000000"/>
          <w:sz w:val="21"/>
          <w:szCs w:val="21"/>
          <w:lang w:eastAsia="en-GB"/>
        </w:rPr>
        <w:t>analyzed</w:t>
      </w:r>
      <w:proofErr w:type="spellEnd"/>
      <w:r w:rsidRPr="00C86A70">
        <w:rPr>
          <w:rFonts w:ascii="Roboto" w:eastAsia="Times New Roman" w:hAnsi="Roboto" w:cs="Times New Roman"/>
          <w:color w:val="000000"/>
          <w:sz w:val="21"/>
          <w:szCs w:val="21"/>
          <w:lang w:eastAsia="en-GB"/>
        </w:rPr>
        <w:t xml:space="preserve"> using reflexive thematic analysis to contextualize ESM findings.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xml:space="preserve">: Participants with PPA completed 100% of ESM surveys, and care partners completed 96% of ESM surveys. Results from the System Usability Scale indicated that among individuals with PPA, surveys were acceptable to one, marginally acceptable to two, and unacceptable to two participants. Surveys were acceptable to four care partners and marginally acceptable to one care partner. Participants reported using unaided communication (facial expression, gesture, and speech) most frequently, with varied use of other modalities. Thematic analysis of interviews yielded four </w:t>
      </w:r>
      <w:r w:rsidRPr="00C86A70">
        <w:rPr>
          <w:rFonts w:ascii="Roboto" w:eastAsia="Times New Roman" w:hAnsi="Roboto" w:cs="Times New Roman"/>
          <w:color w:val="000000"/>
          <w:sz w:val="21"/>
          <w:szCs w:val="21"/>
          <w:lang w:eastAsia="en-GB"/>
        </w:rPr>
        <w:lastRenderedPageBreak/>
        <w:t>themes related to multimodal communication. </w:t>
      </w:r>
      <w:r w:rsidRPr="00C86A70">
        <w:rPr>
          <w:rFonts w:ascii="Roboto" w:eastAsia="Times New Roman" w:hAnsi="Roboto" w:cs="Times New Roman"/>
          <w:b/>
          <w:bCs/>
          <w:color w:val="000000"/>
          <w:sz w:val="21"/>
          <w:szCs w:val="21"/>
          <w:lang w:eastAsia="en-GB"/>
        </w:rPr>
        <w:t>CONCLUSIONS</w:t>
      </w:r>
      <w:r w:rsidRPr="00C86A70">
        <w:rPr>
          <w:rFonts w:ascii="Roboto" w:eastAsia="Times New Roman" w:hAnsi="Roboto" w:cs="Times New Roman"/>
          <w:color w:val="000000"/>
          <w:sz w:val="21"/>
          <w:szCs w:val="21"/>
          <w:lang w:eastAsia="en-GB"/>
        </w:rPr>
        <w:t xml:space="preserve">: ESM was found to be feasible for both care partners and participants with PPA in the current study. The method was largely found to be acceptable to care partners. However, acceptability was adversely affected by cognitive-linguistic impairment in participants with PPA. Despite challenges to acceptability, ESM holds promise </w:t>
      </w:r>
      <w:proofErr w:type="gramStart"/>
      <w:r w:rsidRPr="00C86A70">
        <w:rPr>
          <w:rFonts w:ascii="Roboto" w:eastAsia="Times New Roman" w:hAnsi="Roboto" w:cs="Times New Roman"/>
          <w:color w:val="000000"/>
          <w:sz w:val="21"/>
          <w:szCs w:val="21"/>
          <w:lang w:eastAsia="en-GB"/>
        </w:rPr>
        <w:t>as a means to</w:t>
      </w:r>
      <w:proofErr w:type="gramEnd"/>
      <w:r w:rsidRPr="00C86A70">
        <w:rPr>
          <w:rFonts w:ascii="Roboto" w:eastAsia="Times New Roman" w:hAnsi="Roboto" w:cs="Times New Roman"/>
          <w:color w:val="000000"/>
          <w:sz w:val="21"/>
          <w:szCs w:val="21"/>
          <w:lang w:eastAsia="en-GB"/>
        </w:rPr>
        <w:t xml:space="preserve"> characterize communication </w:t>
      </w:r>
      <w:proofErr w:type="spellStart"/>
      <w:r w:rsidRPr="00C86A70">
        <w:rPr>
          <w:rFonts w:ascii="Roboto" w:eastAsia="Times New Roman" w:hAnsi="Roboto" w:cs="Times New Roman"/>
          <w:color w:val="000000"/>
          <w:sz w:val="21"/>
          <w:szCs w:val="21"/>
          <w:lang w:eastAsia="en-GB"/>
        </w:rPr>
        <w:t>behaviors</w:t>
      </w:r>
      <w:proofErr w:type="spellEnd"/>
      <w:r w:rsidRPr="00C86A70">
        <w:rPr>
          <w:rFonts w:ascii="Roboto" w:eastAsia="Times New Roman" w:hAnsi="Roboto" w:cs="Times New Roman"/>
          <w:color w:val="000000"/>
          <w:sz w:val="21"/>
          <w:szCs w:val="21"/>
          <w:lang w:eastAsia="en-GB"/>
        </w:rPr>
        <w:t xml:space="preserve"> in daily life in individuals with PPA and their care partners. </w:t>
      </w:r>
      <w:r w:rsidRPr="00C86A70">
        <w:rPr>
          <w:rFonts w:ascii="Roboto" w:eastAsia="Times New Roman" w:hAnsi="Roboto" w:cs="Times New Roman"/>
          <w:b/>
          <w:bCs/>
          <w:color w:val="000000"/>
          <w:sz w:val="21"/>
          <w:szCs w:val="21"/>
          <w:lang w:eastAsia="en-GB"/>
        </w:rPr>
        <w:t>SUPPLEMENTAL MATERIAL</w:t>
      </w:r>
      <w:r w:rsidRPr="00C86A70">
        <w:rPr>
          <w:rFonts w:ascii="Roboto" w:eastAsia="Times New Roman" w:hAnsi="Roboto" w:cs="Times New Roman"/>
          <w:color w:val="000000"/>
          <w:sz w:val="21"/>
          <w:szCs w:val="21"/>
          <w:lang w:eastAsia="en-GB"/>
        </w:rPr>
        <w:t>: </w:t>
      </w:r>
      <w:hyperlink r:id="rId13" w:tgtFrame="_blank" w:history="1">
        <w:r w:rsidRPr="00C86A70">
          <w:rPr>
            <w:rFonts w:ascii="Roboto" w:eastAsia="Times New Roman" w:hAnsi="Roboto" w:cs="Times New Roman"/>
            <w:color w:val="0066CC"/>
            <w:sz w:val="21"/>
            <w:szCs w:val="21"/>
            <w:lang w:eastAsia="en-GB"/>
          </w:rPr>
          <w:t>https://doi.org/10.23641/asha.33106922.</w:t>
        </w:r>
      </w:hyperlink>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14" w:tgtFrame="_blank" w:history="1">
        <w:r w:rsidRPr="00C86A70">
          <w:rPr>
            <w:rFonts w:ascii="Roboto" w:eastAsia="Times New Roman" w:hAnsi="Roboto" w:cs="Times New Roman"/>
            <w:color w:val="0066CC"/>
            <w:sz w:val="21"/>
            <w:szCs w:val="21"/>
            <w:lang w:eastAsia="en-GB"/>
          </w:rPr>
          <w:t>https://libkey.io/10.1044/2026_AJSLP-25-00431</w:t>
        </w:r>
      </w:hyperlink>
    </w:p>
    <w:p w14:paraId="14D2C4F3" w14:textId="185CBB78" w:rsidR="003E7AE2" w:rsidRDefault="00C86A70" w:rsidP="00C86A70">
      <w:r w:rsidRPr="00C86A70">
        <w:rPr>
          <w:rFonts w:ascii="Roboto" w:eastAsia="Times New Roman" w:hAnsi="Roboto" w:cs="Times New Roman"/>
          <w:i/>
          <w:iCs/>
          <w:color w:val="000000"/>
          <w:sz w:val="21"/>
          <w:szCs w:val="21"/>
          <w:shd w:val="clear" w:color="auto" w:fill="FFFFFF"/>
          <w:lang w:eastAsia="en-GB"/>
        </w:rPr>
        <w:t>You will need your </w:t>
      </w:r>
      <w:hyperlink r:id="rId15" w:history="1">
        <w:r w:rsidRPr="00C86A70">
          <w:rPr>
            <w:rFonts w:ascii="Roboto" w:eastAsia="Times New Roman" w:hAnsi="Roboto" w:cs="Times New Roman"/>
            <w:i/>
            <w:iCs/>
            <w:color w:val="0066CC"/>
            <w:sz w:val="21"/>
            <w:szCs w:val="21"/>
            <w:lang w:eastAsia="en-GB"/>
          </w:rPr>
          <w:t xml:space="preserve">NHS </w:t>
        </w:r>
        <w:proofErr w:type="spellStart"/>
        <w:r w:rsidRPr="00C86A70">
          <w:rPr>
            <w:rFonts w:ascii="Roboto" w:eastAsia="Times New Roman" w:hAnsi="Roboto" w:cs="Times New Roman"/>
            <w:i/>
            <w:iCs/>
            <w:color w:val="0066CC"/>
            <w:sz w:val="21"/>
            <w:szCs w:val="21"/>
            <w:lang w:eastAsia="en-GB"/>
          </w:rPr>
          <w:t>OpenAthens</w:t>
        </w:r>
        <w:proofErr w:type="spellEnd"/>
        <w:r w:rsidRPr="00C86A70">
          <w:rPr>
            <w:rFonts w:ascii="Roboto" w:eastAsia="Times New Roman" w:hAnsi="Roboto" w:cs="Times New Roman"/>
            <w:i/>
            <w:iCs/>
            <w:color w:val="0066CC"/>
            <w:sz w:val="21"/>
            <w:szCs w:val="21"/>
            <w:lang w:eastAsia="en-GB"/>
          </w:rPr>
          <w:t xml:space="preserve"> account</w:t>
        </w:r>
      </w:hyperlink>
      <w:r w:rsidRPr="00C86A70">
        <w:rPr>
          <w:rFonts w:ascii="Roboto" w:eastAsia="Times New Roman" w:hAnsi="Roboto" w:cs="Times New Roman"/>
          <w:i/>
          <w:iCs/>
          <w:color w:val="000000"/>
          <w:sz w:val="21"/>
          <w:szCs w:val="21"/>
          <w:shd w:val="clear" w:color="auto" w:fill="FFFFFF"/>
          <w:lang w:eastAsia="en-GB"/>
        </w:rPr>
        <w:t> to access the full text of licenced content.</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i/>
          <w:iCs/>
          <w:color w:val="000000"/>
          <w:sz w:val="21"/>
          <w:szCs w:val="21"/>
          <w:shd w:val="clear" w:color="auto" w:fill="FFFFFF"/>
          <w:lang w:eastAsia="en-GB"/>
        </w:rPr>
        <w:t>This service is provided to the NHS in England by NHSE Workforce, Training &amp; Education.</w:t>
      </w:r>
    </w:p>
    <w:p w14:paraId="137F075F" w14:textId="77777777" w:rsidR="003E7AE2" w:rsidRPr="003E7AE2" w:rsidRDefault="00F95BB2" w:rsidP="003E7AE2">
      <w:pPr>
        <w:pStyle w:val="Heading1"/>
      </w:pPr>
      <w:bookmarkStart w:id="1" w:name="_Toc239259695"/>
      <w:r>
        <w:t>Dysphag</w:t>
      </w:r>
      <w:r w:rsidR="003E7AE2">
        <w:t>ia</w:t>
      </w:r>
      <w:bookmarkEnd w:id="1"/>
    </w:p>
    <w:p w14:paraId="13617BE8" w14:textId="77777777"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1. </w:t>
      </w:r>
      <w:r w:rsidRPr="00C86A70">
        <w:rPr>
          <w:rFonts w:ascii="Roboto" w:eastAsia="Times New Roman" w:hAnsi="Roboto" w:cs="Times New Roman"/>
          <w:b/>
          <w:bCs/>
          <w:color w:val="000000"/>
          <w:sz w:val="21"/>
          <w:szCs w:val="21"/>
          <w:lang w:eastAsia="en-GB"/>
        </w:rPr>
        <w:t>Dysphagia and gastrointestinal disorders in Parkinson's disease: towards a diagnostic standard operating procedure for the interprofessional neurological outpatient care team</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xml:space="preserve"> Claus, </w:t>
      </w:r>
      <w:proofErr w:type="spellStart"/>
      <w:r w:rsidRPr="00C86A70">
        <w:rPr>
          <w:rFonts w:ascii="Roboto" w:eastAsia="Times New Roman" w:hAnsi="Roboto" w:cs="Times New Roman"/>
          <w:color w:val="000000"/>
          <w:sz w:val="21"/>
          <w:szCs w:val="21"/>
          <w:lang w:eastAsia="en-GB"/>
        </w:rPr>
        <w:t>Inga;Buhmann</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Carsten;Fanciulli</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Alessandra;Klebe</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Stephan;Marxreiter</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Franz;Sus</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Patrick;Weise</w:t>
      </w:r>
      <w:proofErr w:type="spellEnd"/>
      <w:r w:rsidRPr="00C86A70">
        <w:rPr>
          <w:rFonts w:ascii="Roboto" w:eastAsia="Times New Roman" w:hAnsi="Roboto" w:cs="Times New Roman"/>
          <w:color w:val="000000"/>
          <w:sz w:val="21"/>
          <w:szCs w:val="21"/>
          <w:lang w:eastAsia="en-GB"/>
        </w:rPr>
        <w:t>, David and Warnecke, Tobias</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Journal of Neural Transmission</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w:t>
      </w:r>
      <w:r w:rsidRPr="00C86A70">
        <w:rPr>
          <w:rFonts w:ascii="Roboto" w:eastAsia="Times New Roman" w:hAnsi="Roboto" w:cs="Times New Roman"/>
          <w:color w:val="000000"/>
          <w:sz w:val="21"/>
          <w:szCs w:val="21"/>
          <w:lang w:eastAsia="en-GB"/>
        </w:rPr>
        <w:t>Gastrointestinal Disorders in people with Parkinson's disease (</w:t>
      </w:r>
      <w:proofErr w:type="spellStart"/>
      <w:r w:rsidRPr="00C86A70">
        <w:rPr>
          <w:rFonts w:ascii="Roboto" w:eastAsia="Times New Roman" w:hAnsi="Roboto" w:cs="Times New Roman"/>
          <w:color w:val="000000"/>
          <w:sz w:val="21"/>
          <w:szCs w:val="21"/>
          <w:lang w:eastAsia="en-GB"/>
        </w:rPr>
        <w:t>PwP</w:t>
      </w:r>
      <w:proofErr w:type="spellEnd"/>
      <w:r w:rsidRPr="00C86A70">
        <w:rPr>
          <w:rFonts w:ascii="Roboto" w:eastAsia="Times New Roman" w:hAnsi="Roboto" w:cs="Times New Roman"/>
          <w:color w:val="000000"/>
          <w:sz w:val="21"/>
          <w:szCs w:val="21"/>
          <w:lang w:eastAsia="en-GB"/>
        </w:rPr>
        <w:t xml:space="preserve">) are able to cause widespread clinical symptoms which can be challenging to classify in day-to-day clinical practice. In the upper gastrointestinal tract (GIT) oropharyngeal dysphagia, </w:t>
      </w:r>
      <w:proofErr w:type="spellStart"/>
      <w:r w:rsidRPr="00C86A70">
        <w:rPr>
          <w:rFonts w:ascii="Roboto" w:eastAsia="Times New Roman" w:hAnsi="Roboto" w:cs="Times New Roman"/>
          <w:color w:val="000000"/>
          <w:sz w:val="21"/>
          <w:szCs w:val="21"/>
          <w:lang w:eastAsia="en-GB"/>
        </w:rPr>
        <w:t>esophageal</w:t>
      </w:r>
      <w:proofErr w:type="spellEnd"/>
      <w:r w:rsidRPr="00C86A70">
        <w:rPr>
          <w:rFonts w:ascii="Roboto" w:eastAsia="Times New Roman" w:hAnsi="Roboto" w:cs="Times New Roman"/>
          <w:color w:val="000000"/>
          <w:sz w:val="21"/>
          <w:szCs w:val="21"/>
          <w:lang w:eastAsia="en-GB"/>
        </w:rPr>
        <w:t xml:space="preserve"> motility disorders as well as delayed gastric emptying may cause nutrition problems and reduce the efficacy of oral pharmacotherapy. In the lower GIT, bacterial overgrowth and prolonged colorectal transit times induce different stages of constipation leading to reduced quality of life and GIT comorbidities as well. Most of these symptoms reflect alpha-synuclein pathology in both the enteric nervous system and at various sites of the peripheral and central nervous systems. Besides, the growing use of various device aided therapies may additionally raise specific clinical questions about the interference with the GIT motility. This standard operating procedure (SOP) is intended to provide specific recommendations for diagnostic steps as well as therapeutic options, especially for interprofessional neurological outpatient care teams.</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t>Copyright © 2026. The Author(s).</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16" w:tgtFrame="_blank" w:history="1">
        <w:r w:rsidRPr="00C86A70">
          <w:rPr>
            <w:rFonts w:ascii="Roboto" w:eastAsia="Times New Roman" w:hAnsi="Roboto" w:cs="Times New Roman"/>
            <w:color w:val="0066CC"/>
            <w:sz w:val="21"/>
            <w:szCs w:val="21"/>
            <w:lang w:eastAsia="en-GB"/>
          </w:rPr>
          <w:t>https://libkey.io/10.1007/s00702-026-03195-z</w:t>
        </w:r>
      </w:hyperlink>
    </w:p>
    <w:p w14:paraId="1DDB3D3D" w14:textId="3890966D"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2. </w:t>
      </w:r>
      <w:r w:rsidRPr="00C86A70">
        <w:rPr>
          <w:rFonts w:ascii="Roboto" w:eastAsia="Times New Roman" w:hAnsi="Roboto" w:cs="Times New Roman"/>
          <w:b/>
          <w:bCs/>
          <w:color w:val="000000"/>
          <w:sz w:val="21"/>
          <w:szCs w:val="21"/>
          <w:lang w:eastAsia="en-GB"/>
        </w:rPr>
        <w:t>Pharyngeal Dysphagia in Cancer: Characterizing Functional and Physiological Swallow Targets Across 12 Cancer Types.</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w:t>
      </w:r>
      <w:proofErr w:type="spellStart"/>
      <w:r w:rsidRPr="00C86A70">
        <w:rPr>
          <w:rFonts w:ascii="Roboto" w:eastAsia="Times New Roman" w:hAnsi="Roboto" w:cs="Times New Roman"/>
          <w:color w:val="000000"/>
          <w:sz w:val="21"/>
          <w:szCs w:val="21"/>
          <w:lang w:eastAsia="en-GB"/>
        </w:rPr>
        <w:t>Manduchi</w:t>
      </w:r>
      <w:proofErr w:type="spellEnd"/>
      <w:r w:rsidRPr="00C86A70">
        <w:rPr>
          <w:rFonts w:ascii="Roboto" w:eastAsia="Times New Roman" w:hAnsi="Roboto" w:cs="Times New Roman"/>
          <w:color w:val="000000"/>
          <w:sz w:val="21"/>
          <w:szCs w:val="21"/>
          <w:lang w:eastAsia="en-GB"/>
        </w:rPr>
        <w:t xml:space="preserve">, </w:t>
      </w:r>
      <w:proofErr w:type="spellStart"/>
      <w:proofErr w:type="gramStart"/>
      <w:r w:rsidRPr="00C86A70">
        <w:rPr>
          <w:rFonts w:ascii="Roboto" w:eastAsia="Times New Roman" w:hAnsi="Roboto" w:cs="Times New Roman"/>
          <w:color w:val="000000"/>
          <w:sz w:val="21"/>
          <w:szCs w:val="21"/>
          <w:lang w:eastAsia="en-GB"/>
        </w:rPr>
        <w:t>Beatrice;Warneke</w:t>
      </w:r>
      <w:proofErr w:type="spellEnd"/>
      <w:proofErr w:type="gramEnd"/>
      <w:r w:rsidRPr="00C86A70">
        <w:rPr>
          <w:rFonts w:ascii="Roboto" w:eastAsia="Times New Roman" w:hAnsi="Roboto" w:cs="Times New Roman"/>
          <w:color w:val="000000"/>
          <w:sz w:val="21"/>
          <w:szCs w:val="21"/>
          <w:lang w:eastAsia="en-GB"/>
        </w:rPr>
        <w:t xml:space="preserve">, Carla </w:t>
      </w:r>
      <w:proofErr w:type="spellStart"/>
      <w:proofErr w:type="gramStart"/>
      <w:r w:rsidRPr="00C86A70">
        <w:rPr>
          <w:rFonts w:ascii="Roboto" w:eastAsia="Times New Roman" w:hAnsi="Roboto" w:cs="Times New Roman"/>
          <w:color w:val="000000"/>
          <w:sz w:val="21"/>
          <w:szCs w:val="21"/>
          <w:lang w:eastAsia="en-GB"/>
        </w:rPr>
        <w:t>L.;Barbon</w:t>
      </w:r>
      <w:proofErr w:type="spellEnd"/>
      <w:proofErr w:type="gramEnd"/>
      <w:r w:rsidRPr="00C86A70">
        <w:rPr>
          <w:rFonts w:ascii="Roboto" w:eastAsia="Times New Roman" w:hAnsi="Roboto" w:cs="Times New Roman"/>
          <w:color w:val="000000"/>
          <w:sz w:val="21"/>
          <w:szCs w:val="21"/>
          <w:lang w:eastAsia="en-GB"/>
        </w:rPr>
        <w:t xml:space="preserve">, Carly E. </w:t>
      </w:r>
      <w:proofErr w:type="spellStart"/>
      <w:proofErr w:type="gramStart"/>
      <w:r w:rsidRPr="00C86A70">
        <w:rPr>
          <w:rFonts w:ascii="Roboto" w:eastAsia="Times New Roman" w:hAnsi="Roboto" w:cs="Times New Roman"/>
          <w:color w:val="000000"/>
          <w:sz w:val="21"/>
          <w:szCs w:val="21"/>
          <w:lang w:eastAsia="en-GB"/>
        </w:rPr>
        <w:t>A.;Tang</w:t>
      </w:r>
      <w:proofErr w:type="spellEnd"/>
      <w:proofErr w:type="gramEnd"/>
      <w:r w:rsidRPr="00C86A70">
        <w:rPr>
          <w:rFonts w:ascii="Roboto" w:eastAsia="Times New Roman" w:hAnsi="Roboto" w:cs="Times New Roman"/>
          <w:color w:val="000000"/>
          <w:sz w:val="21"/>
          <w:szCs w:val="21"/>
          <w:lang w:eastAsia="en-GB"/>
        </w:rPr>
        <w:t xml:space="preserve">, </w:t>
      </w:r>
      <w:proofErr w:type="spellStart"/>
      <w:proofErr w:type="gramStart"/>
      <w:r w:rsidRPr="00C86A70">
        <w:rPr>
          <w:rFonts w:ascii="Roboto" w:eastAsia="Times New Roman" w:hAnsi="Roboto" w:cs="Times New Roman"/>
          <w:color w:val="000000"/>
          <w:sz w:val="21"/>
          <w:szCs w:val="21"/>
          <w:lang w:eastAsia="en-GB"/>
        </w:rPr>
        <w:t>Xiaohui;Sahli</w:t>
      </w:r>
      <w:proofErr w:type="spellEnd"/>
      <w:proofErr w:type="gramEnd"/>
      <w:r w:rsidRPr="00C86A70">
        <w:rPr>
          <w:rFonts w:ascii="Roboto" w:eastAsia="Times New Roman" w:hAnsi="Roboto" w:cs="Times New Roman"/>
          <w:color w:val="000000"/>
          <w:sz w:val="21"/>
          <w:szCs w:val="21"/>
          <w:lang w:eastAsia="en-GB"/>
        </w:rPr>
        <w:t xml:space="preserve">, Ariana </w:t>
      </w:r>
      <w:proofErr w:type="spellStart"/>
      <w:proofErr w:type="gramStart"/>
      <w:r w:rsidRPr="00C86A70">
        <w:rPr>
          <w:rFonts w:ascii="Roboto" w:eastAsia="Times New Roman" w:hAnsi="Roboto" w:cs="Times New Roman"/>
          <w:color w:val="000000"/>
          <w:sz w:val="21"/>
          <w:szCs w:val="21"/>
          <w:lang w:eastAsia="en-GB"/>
        </w:rPr>
        <w:t>J.;Buoy</w:t>
      </w:r>
      <w:proofErr w:type="spellEnd"/>
      <w:proofErr w:type="gramEnd"/>
      <w:r w:rsidRPr="00C86A70">
        <w:rPr>
          <w:rFonts w:ascii="Roboto" w:eastAsia="Times New Roman" w:hAnsi="Roboto" w:cs="Times New Roman"/>
          <w:color w:val="000000"/>
          <w:sz w:val="21"/>
          <w:szCs w:val="21"/>
          <w:lang w:eastAsia="en-GB"/>
        </w:rPr>
        <w:t>, Sheila N. and Hutcheson, Katherine A.</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Dysphagia</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w:t>
      </w:r>
      <w:r w:rsidRPr="00C86A70">
        <w:rPr>
          <w:rFonts w:ascii="Roboto" w:eastAsia="Times New Roman" w:hAnsi="Roboto" w:cs="Times New Roman"/>
          <w:color w:val="000000"/>
          <w:sz w:val="21"/>
          <w:szCs w:val="21"/>
          <w:lang w:eastAsia="en-GB"/>
        </w:rPr>
        <w:t xml:space="preserve">Dysphagia is common across cancer populations, yet it remains poorly characterized outside of head and neck (HN) cancer. Defining swallowing profiles in diverse cancer groups is essential to guide targeted supportive care and rehabilitation. We </w:t>
      </w:r>
      <w:proofErr w:type="spellStart"/>
      <w:r w:rsidRPr="00C86A70">
        <w:rPr>
          <w:rFonts w:ascii="Roboto" w:eastAsia="Times New Roman" w:hAnsi="Roboto" w:cs="Times New Roman"/>
          <w:color w:val="000000"/>
          <w:sz w:val="21"/>
          <w:szCs w:val="21"/>
          <w:lang w:eastAsia="en-GB"/>
        </w:rPr>
        <w:t>analyzed</w:t>
      </w:r>
      <w:proofErr w:type="spellEnd"/>
      <w:r w:rsidRPr="00C86A70">
        <w:rPr>
          <w:rFonts w:ascii="Roboto" w:eastAsia="Times New Roman" w:hAnsi="Roboto" w:cs="Times New Roman"/>
          <w:color w:val="000000"/>
          <w:sz w:val="21"/>
          <w:szCs w:val="21"/>
          <w:lang w:eastAsia="en-GB"/>
        </w:rPr>
        <w:t xml:space="preserve"> 10,677 MBSs from 6,423 adult cancer patients referred for dysphagia assessment (2016-</w:t>
      </w:r>
      <w:r w:rsidRPr="00C86A70">
        <w:rPr>
          <w:rFonts w:ascii="Roboto" w:eastAsia="Times New Roman" w:hAnsi="Roboto" w:cs="Times New Roman"/>
          <w:color w:val="000000"/>
          <w:sz w:val="21"/>
          <w:szCs w:val="21"/>
          <w:lang w:eastAsia="en-GB"/>
        </w:rPr>
        <w:lastRenderedPageBreak/>
        <w:t xml:space="preserve">2021) across 12 cancer diagnoses, at a designated comprehensive cancer </w:t>
      </w:r>
      <w:proofErr w:type="spellStart"/>
      <w:r w:rsidRPr="00C86A70">
        <w:rPr>
          <w:rFonts w:ascii="Roboto" w:eastAsia="Times New Roman" w:hAnsi="Roboto" w:cs="Times New Roman"/>
          <w:color w:val="000000"/>
          <w:sz w:val="21"/>
          <w:szCs w:val="21"/>
          <w:lang w:eastAsia="en-GB"/>
        </w:rPr>
        <w:t>center</w:t>
      </w:r>
      <w:proofErr w:type="spellEnd"/>
      <w:r w:rsidRPr="00C86A70">
        <w:rPr>
          <w:rFonts w:ascii="Roboto" w:eastAsia="Times New Roman" w:hAnsi="Roboto" w:cs="Times New Roman"/>
          <w:color w:val="000000"/>
          <w:sz w:val="21"/>
          <w:szCs w:val="21"/>
          <w:lang w:eastAsia="en-GB"/>
        </w:rPr>
        <w:t xml:space="preserve">. Swallowing safety and efficiency were graded using the DIGEST scale. Multivariable mixed-effects ordinal logistic regression assessed differences in DIGEST impairment (&gt;= 1) across diagnoses. In a subset of 704 studies, physiologic impairments were examined with the </w:t>
      </w:r>
      <w:proofErr w:type="spellStart"/>
      <w:r w:rsidRPr="00C86A70">
        <w:rPr>
          <w:rFonts w:ascii="Roboto" w:eastAsia="Times New Roman" w:hAnsi="Roboto" w:cs="Times New Roman"/>
          <w:color w:val="000000"/>
          <w:sz w:val="21"/>
          <w:szCs w:val="21"/>
          <w:lang w:eastAsia="en-GB"/>
        </w:rPr>
        <w:t>MBSImP</w:t>
      </w:r>
      <w:proofErr w:type="spellEnd"/>
      <w:r w:rsidRPr="00C86A70">
        <w:rPr>
          <w:rFonts w:ascii="Roboto" w:eastAsia="Times New Roman" w:hAnsi="Roboto" w:cs="Times New Roman"/>
          <w:color w:val="000000"/>
          <w:sz w:val="21"/>
          <w:szCs w:val="21"/>
          <w:lang w:eastAsia="en-GB"/>
        </w:rPr>
        <w:t xml:space="preserve"> and correlated with DIGEST outcomes. Dysphagia frequency varied significantly across cancer types for overall, safety, and efficiency domains (all p = 1) was most frequent in patients with multiple cancers including HN (71%) and gastrointestinal (64%) and lowest in breast and endocrine/thyroid cancers. Safety impairments were highest in patients with multiple cancers including HN (59%), gastrointestinal (52%), and CNS (51%), while efficiency deficits predominated in patients with multiple cancers including HN (54%), HN alone (46%), CNS and multiple non-HN cancers (both 44%). Pharyngeal swallow initiation, anterior hyoid excursion, and laryngeal vestibular closure were the most frequently impaired physiologic components. Correlations between </w:t>
      </w:r>
      <w:proofErr w:type="spellStart"/>
      <w:r w:rsidRPr="00C86A70">
        <w:rPr>
          <w:rFonts w:ascii="Roboto" w:eastAsia="Times New Roman" w:hAnsi="Roboto" w:cs="Times New Roman"/>
          <w:color w:val="000000"/>
          <w:sz w:val="21"/>
          <w:szCs w:val="21"/>
          <w:lang w:eastAsia="en-GB"/>
        </w:rPr>
        <w:t>MBSImP</w:t>
      </w:r>
      <w:proofErr w:type="spellEnd"/>
      <w:r w:rsidRPr="00C86A70">
        <w:rPr>
          <w:rFonts w:ascii="Roboto" w:eastAsia="Times New Roman" w:hAnsi="Roboto" w:cs="Times New Roman"/>
          <w:color w:val="000000"/>
          <w:sz w:val="21"/>
          <w:szCs w:val="21"/>
          <w:lang w:eastAsia="en-GB"/>
        </w:rPr>
        <w:t xml:space="preserve"> and DIGEST varied across cancer types. Swallowing impairment profiles differ substantially by cancer type, and link to distinct physiologic targets. These findings support developing cancer-specific dysphagia pathways and integrating physiologic and functional metrics to optimize rehabilitation.</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t>Copyright © 2026. The Author(s).</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17" w:tgtFrame="_blank" w:history="1">
        <w:r w:rsidRPr="00C86A70">
          <w:rPr>
            <w:rFonts w:ascii="Roboto" w:eastAsia="Times New Roman" w:hAnsi="Roboto" w:cs="Times New Roman"/>
            <w:color w:val="0066CC"/>
            <w:sz w:val="21"/>
            <w:szCs w:val="21"/>
            <w:lang w:eastAsia="en-GB"/>
          </w:rPr>
          <w:t>https://libkey.io/10.1007/s00455-026-10965-0</w:t>
        </w:r>
      </w:hyperlink>
    </w:p>
    <w:p w14:paraId="7EC90B59" w14:textId="1DE7B768"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3. </w:t>
      </w:r>
      <w:r w:rsidRPr="00C86A70">
        <w:rPr>
          <w:rFonts w:ascii="Roboto" w:eastAsia="Times New Roman" w:hAnsi="Roboto" w:cs="Times New Roman"/>
          <w:b/>
          <w:bCs/>
          <w:color w:val="000000"/>
          <w:sz w:val="21"/>
          <w:szCs w:val="21"/>
          <w:lang w:eastAsia="en-GB"/>
        </w:rPr>
        <w:t xml:space="preserve">Improving Functional Oral Intake in Head and Neck Cancer Survivors with Chronic Radiation-Associated Dysphagia - The </w:t>
      </w:r>
      <w:proofErr w:type="spellStart"/>
      <w:r w:rsidRPr="00C86A70">
        <w:rPr>
          <w:rFonts w:ascii="Roboto" w:eastAsia="Times New Roman" w:hAnsi="Roboto" w:cs="Times New Roman"/>
          <w:b/>
          <w:bCs/>
          <w:color w:val="000000"/>
          <w:sz w:val="21"/>
          <w:szCs w:val="21"/>
          <w:lang w:eastAsia="en-GB"/>
        </w:rPr>
        <w:t>Multicenter</w:t>
      </w:r>
      <w:proofErr w:type="spellEnd"/>
      <w:r w:rsidRPr="00C86A70">
        <w:rPr>
          <w:rFonts w:ascii="Roboto" w:eastAsia="Times New Roman" w:hAnsi="Roboto" w:cs="Times New Roman"/>
          <w:b/>
          <w:bCs/>
          <w:color w:val="000000"/>
          <w:sz w:val="21"/>
          <w:szCs w:val="21"/>
          <w:lang w:eastAsia="en-GB"/>
        </w:rPr>
        <w:t xml:space="preserve"> Randomized Controlled HIT-CRAD Trial.</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w:t>
      </w:r>
      <w:proofErr w:type="spellStart"/>
      <w:r w:rsidRPr="00C86A70">
        <w:rPr>
          <w:rFonts w:ascii="Roboto" w:eastAsia="Times New Roman" w:hAnsi="Roboto" w:cs="Times New Roman"/>
          <w:color w:val="000000"/>
          <w:sz w:val="21"/>
          <w:szCs w:val="21"/>
          <w:lang w:eastAsia="en-GB"/>
        </w:rPr>
        <w:t>Massonet</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Hanne;Goeleven</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Ann;Van</w:t>
      </w:r>
      <w:proofErr w:type="spellEnd"/>
      <w:r w:rsidRPr="00C86A70">
        <w:rPr>
          <w:rFonts w:ascii="Roboto" w:eastAsia="Times New Roman" w:hAnsi="Roboto" w:cs="Times New Roman"/>
          <w:color w:val="000000"/>
          <w:sz w:val="21"/>
          <w:szCs w:val="21"/>
          <w:lang w:eastAsia="en-GB"/>
        </w:rPr>
        <w:t xml:space="preserve"> Den Steen, </w:t>
      </w:r>
      <w:proofErr w:type="spellStart"/>
      <w:r w:rsidRPr="00C86A70">
        <w:rPr>
          <w:rFonts w:ascii="Roboto" w:eastAsia="Times New Roman" w:hAnsi="Roboto" w:cs="Times New Roman"/>
          <w:color w:val="000000"/>
          <w:sz w:val="21"/>
          <w:szCs w:val="21"/>
          <w:lang w:eastAsia="en-GB"/>
        </w:rPr>
        <w:t>Leen;Vergauwen</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Alice;Baudelet</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Margot;Duprez</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Frederic;Tomassen</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Peter;Vanderveken</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Olivier;Nuyts</w:t>
      </w:r>
      <w:proofErr w:type="spellEnd"/>
      <w:r w:rsidRPr="00C86A70">
        <w:rPr>
          <w:rFonts w:ascii="Roboto" w:eastAsia="Times New Roman" w:hAnsi="Roboto" w:cs="Times New Roman"/>
          <w:color w:val="000000"/>
          <w:sz w:val="21"/>
          <w:szCs w:val="21"/>
          <w:lang w:eastAsia="en-GB"/>
        </w:rPr>
        <w:t>, Sandra and Van Nuffelen, Gwen</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Dysphagia</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w:t>
      </w:r>
      <w:r w:rsidRPr="00C86A70">
        <w:rPr>
          <w:rFonts w:ascii="Roboto" w:eastAsia="Times New Roman" w:hAnsi="Roboto" w:cs="Times New Roman"/>
          <w:color w:val="000000"/>
          <w:sz w:val="21"/>
          <w:szCs w:val="21"/>
          <w:lang w:eastAsia="en-GB"/>
        </w:rPr>
        <w:t>This randomized controlled trial evaluated the efficacy of home-based treatment programs for chronic radiation associated dysphagia (CRAD) in head and neck cancer (HNC) patients, comparing high-volume strength training to combined strength-skill training with either real or sham High-Definition transcranial Direct Current Stimulation (HD-</w:t>
      </w:r>
      <w:proofErr w:type="spellStart"/>
      <w:r w:rsidRPr="00C86A70">
        <w:rPr>
          <w:rFonts w:ascii="Roboto" w:eastAsia="Times New Roman" w:hAnsi="Roboto" w:cs="Times New Roman"/>
          <w:color w:val="000000"/>
          <w:sz w:val="21"/>
          <w:szCs w:val="21"/>
          <w:lang w:eastAsia="en-GB"/>
        </w:rPr>
        <w:t>tDCS</w:t>
      </w:r>
      <w:proofErr w:type="spellEnd"/>
      <w:r w:rsidRPr="00C86A70">
        <w:rPr>
          <w:rFonts w:ascii="Roboto" w:eastAsia="Times New Roman" w:hAnsi="Roboto" w:cs="Times New Roman"/>
          <w:color w:val="000000"/>
          <w:sz w:val="21"/>
          <w:szCs w:val="21"/>
          <w:lang w:eastAsia="en-GB"/>
        </w:rPr>
        <w:t>). 54 HNC survivors with CRAD were randomized in 3 groups, each performing exercises 4 times per week over 8 weeks. Group 1 (n = 18) received strength training only, consisting of tongue strengthening exercises, chin tuck against resistance exercises with effortful swallowing and expiratory muscle strength training. Group 2 (n = 18) completed the same regimen for 4 weeks, followed by 4 weeks of skill training according to the McNeill Dysphagia Therapy Program. Group 3 (n = 18) completed this combined therapy program while receiving HD-</w:t>
      </w:r>
      <w:proofErr w:type="spellStart"/>
      <w:r w:rsidRPr="00C86A70">
        <w:rPr>
          <w:rFonts w:ascii="Roboto" w:eastAsia="Times New Roman" w:hAnsi="Roboto" w:cs="Times New Roman"/>
          <w:color w:val="000000"/>
          <w:sz w:val="21"/>
          <w:szCs w:val="21"/>
          <w:lang w:eastAsia="en-GB"/>
        </w:rPr>
        <w:t>tDCS</w:t>
      </w:r>
      <w:proofErr w:type="spellEnd"/>
      <w:r w:rsidRPr="00C86A70">
        <w:rPr>
          <w:rFonts w:ascii="Roboto" w:eastAsia="Times New Roman" w:hAnsi="Roboto" w:cs="Times New Roman"/>
          <w:color w:val="000000"/>
          <w:sz w:val="21"/>
          <w:szCs w:val="21"/>
          <w:lang w:eastAsia="en-GB"/>
        </w:rPr>
        <w:t xml:space="preserve"> over the swallowing motor cortex during each therapy session. To examine the additional effect of HD-</w:t>
      </w:r>
      <w:proofErr w:type="spellStart"/>
      <w:r w:rsidRPr="00C86A70">
        <w:rPr>
          <w:rFonts w:ascii="Roboto" w:eastAsia="Times New Roman" w:hAnsi="Roboto" w:cs="Times New Roman"/>
          <w:color w:val="000000"/>
          <w:sz w:val="21"/>
          <w:szCs w:val="21"/>
          <w:lang w:eastAsia="en-GB"/>
        </w:rPr>
        <w:t>tDCS</w:t>
      </w:r>
      <w:proofErr w:type="spellEnd"/>
      <w:r w:rsidRPr="00C86A70">
        <w:rPr>
          <w:rFonts w:ascii="Roboto" w:eastAsia="Times New Roman" w:hAnsi="Roboto" w:cs="Times New Roman"/>
          <w:color w:val="000000"/>
          <w:sz w:val="21"/>
          <w:szCs w:val="21"/>
          <w:lang w:eastAsia="en-GB"/>
        </w:rPr>
        <w:t>, group 2 received sham stimulation. All groups showed significant improvements in functional oral intake (p &lt; .001), swallowing function (p &lt; .05) and muscle strength (p &lt; .001). Participants receiving combined strength and skill training (group 2 + 3) had significantly greater odds of better oral intake outcomes after 8 weeks of training (OR 13.47, 95%CI 5.95 - 30.49, p &lt; .001) compared to the strength-only group (group 1) (OR 3.04, 95%CI 1.44 - 6.44, p = .004). There was no additional benefit of HD-</w:t>
      </w:r>
      <w:proofErr w:type="spellStart"/>
      <w:r w:rsidRPr="00C86A70">
        <w:rPr>
          <w:rFonts w:ascii="Roboto" w:eastAsia="Times New Roman" w:hAnsi="Roboto" w:cs="Times New Roman"/>
          <w:color w:val="000000"/>
          <w:sz w:val="21"/>
          <w:szCs w:val="21"/>
          <w:lang w:eastAsia="en-GB"/>
        </w:rPr>
        <w:t>tDCS</w:t>
      </w:r>
      <w:proofErr w:type="spellEnd"/>
      <w:r w:rsidRPr="00C86A70">
        <w:rPr>
          <w:rFonts w:ascii="Roboto" w:eastAsia="Times New Roman" w:hAnsi="Roboto" w:cs="Times New Roman"/>
          <w:color w:val="000000"/>
          <w:sz w:val="21"/>
          <w:szCs w:val="21"/>
          <w:lang w:eastAsia="en-GB"/>
        </w:rPr>
        <w:t xml:space="preserve"> when comparing group 2 and 3. High-volume strength and skill-based training is an effective intervention for CRAD in HNC survivors. Combining strength and skill training is the most efficient choice to improve functional oral intake.</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t>Copyright © 2026. The Author(s).</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lastRenderedPageBreak/>
        <w:br/>
      </w:r>
      <w:r w:rsidRPr="00C86A70">
        <w:rPr>
          <w:rFonts w:ascii="Roboto" w:eastAsia="Times New Roman" w:hAnsi="Roboto" w:cs="Times New Roman"/>
          <w:b/>
          <w:bCs/>
          <w:color w:val="000000"/>
          <w:sz w:val="21"/>
          <w:szCs w:val="21"/>
          <w:lang w:eastAsia="en-GB"/>
        </w:rPr>
        <w:t>Access or request full text: </w:t>
      </w:r>
      <w:hyperlink r:id="rId18" w:tgtFrame="_blank" w:history="1">
        <w:r w:rsidRPr="00C86A70">
          <w:rPr>
            <w:rFonts w:ascii="Roboto" w:eastAsia="Times New Roman" w:hAnsi="Roboto" w:cs="Times New Roman"/>
            <w:color w:val="0066CC"/>
            <w:sz w:val="21"/>
            <w:szCs w:val="21"/>
            <w:lang w:eastAsia="en-GB"/>
          </w:rPr>
          <w:t>https://libkey.io/10.1007/s00455-026-10971-2</w:t>
        </w:r>
      </w:hyperlink>
    </w:p>
    <w:p w14:paraId="01C54C66" w14:textId="5D73C228"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4. </w:t>
      </w:r>
      <w:r w:rsidRPr="00C86A70">
        <w:rPr>
          <w:rFonts w:ascii="Roboto" w:eastAsia="Times New Roman" w:hAnsi="Roboto" w:cs="Times New Roman"/>
          <w:b/>
          <w:bCs/>
          <w:color w:val="000000"/>
          <w:sz w:val="21"/>
          <w:szCs w:val="21"/>
          <w:lang w:eastAsia="en-GB"/>
        </w:rPr>
        <w:t xml:space="preserve">Twelve-Month Outcomes of a Preventive Dysphagia Intervention in Patients </w:t>
      </w:r>
      <w:proofErr w:type="gramStart"/>
      <w:r w:rsidRPr="00C86A70">
        <w:rPr>
          <w:rFonts w:ascii="Roboto" w:eastAsia="Times New Roman" w:hAnsi="Roboto" w:cs="Times New Roman"/>
          <w:b/>
          <w:bCs/>
          <w:color w:val="000000"/>
          <w:sz w:val="21"/>
          <w:szCs w:val="21"/>
          <w:lang w:eastAsia="en-GB"/>
        </w:rPr>
        <w:t>With</w:t>
      </w:r>
      <w:proofErr w:type="gramEnd"/>
      <w:r w:rsidRPr="00C86A70">
        <w:rPr>
          <w:rFonts w:ascii="Roboto" w:eastAsia="Times New Roman" w:hAnsi="Roboto" w:cs="Times New Roman"/>
          <w:b/>
          <w:bCs/>
          <w:color w:val="000000"/>
          <w:sz w:val="21"/>
          <w:szCs w:val="21"/>
          <w:lang w:eastAsia="en-GB"/>
        </w:rPr>
        <w:t xml:space="preserve"> Head and Neck Cancer-A Randomized Study.</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xml:space="preserve"> Petersson, </w:t>
      </w:r>
      <w:proofErr w:type="spellStart"/>
      <w:proofErr w:type="gramStart"/>
      <w:r w:rsidRPr="00C86A70">
        <w:rPr>
          <w:rFonts w:ascii="Roboto" w:eastAsia="Times New Roman" w:hAnsi="Roboto" w:cs="Times New Roman"/>
          <w:color w:val="000000"/>
          <w:sz w:val="21"/>
          <w:szCs w:val="21"/>
          <w:lang w:eastAsia="en-GB"/>
        </w:rPr>
        <w:t>Kerstin;Smith</w:t>
      </w:r>
      <w:proofErr w:type="spellEnd"/>
      <w:proofErr w:type="gramEnd"/>
      <w:r w:rsidRPr="00C86A70">
        <w:rPr>
          <w:rFonts w:ascii="Roboto" w:eastAsia="Times New Roman" w:hAnsi="Roboto" w:cs="Times New Roman"/>
          <w:color w:val="000000"/>
          <w:sz w:val="21"/>
          <w:szCs w:val="21"/>
          <w:lang w:eastAsia="en-GB"/>
        </w:rPr>
        <w:t xml:space="preserve">, Signe </w:t>
      </w:r>
      <w:proofErr w:type="spellStart"/>
      <w:proofErr w:type="gramStart"/>
      <w:r w:rsidRPr="00C86A70">
        <w:rPr>
          <w:rFonts w:ascii="Roboto" w:eastAsia="Times New Roman" w:hAnsi="Roboto" w:cs="Times New Roman"/>
          <w:color w:val="000000"/>
          <w:sz w:val="21"/>
          <w:szCs w:val="21"/>
          <w:lang w:eastAsia="en-GB"/>
        </w:rPr>
        <w:t>Rodseth;Johansson</w:t>
      </w:r>
      <w:proofErr w:type="gramEnd"/>
      <w:r w:rsidRPr="00C86A70">
        <w:rPr>
          <w:rFonts w:ascii="Roboto" w:eastAsia="Times New Roman" w:hAnsi="Roboto" w:cs="Times New Roman"/>
          <w:color w:val="000000"/>
          <w:sz w:val="21"/>
          <w:szCs w:val="21"/>
          <w:lang w:eastAsia="en-GB"/>
        </w:rPr>
        <w:t>-Malmeling</w:t>
      </w:r>
      <w:proofErr w:type="spellEnd"/>
      <w:r w:rsidRPr="00C86A70">
        <w:rPr>
          <w:rFonts w:ascii="Roboto" w:eastAsia="Times New Roman" w:hAnsi="Roboto" w:cs="Times New Roman"/>
          <w:color w:val="000000"/>
          <w:sz w:val="21"/>
          <w:szCs w:val="21"/>
          <w:lang w:eastAsia="en-GB"/>
        </w:rPr>
        <w:t xml:space="preserve">, </w:t>
      </w:r>
      <w:proofErr w:type="spellStart"/>
      <w:proofErr w:type="gramStart"/>
      <w:r w:rsidRPr="00C86A70">
        <w:rPr>
          <w:rFonts w:ascii="Roboto" w:eastAsia="Times New Roman" w:hAnsi="Roboto" w:cs="Times New Roman"/>
          <w:color w:val="000000"/>
          <w:sz w:val="21"/>
          <w:szCs w:val="21"/>
          <w:lang w:eastAsia="en-GB"/>
        </w:rPr>
        <w:t>Charlotte;Finizia</w:t>
      </w:r>
      <w:proofErr w:type="spellEnd"/>
      <w:proofErr w:type="gramEnd"/>
      <w:r w:rsidRPr="00C86A70">
        <w:rPr>
          <w:rFonts w:ascii="Roboto" w:eastAsia="Times New Roman" w:hAnsi="Roboto" w:cs="Times New Roman"/>
          <w:color w:val="000000"/>
          <w:sz w:val="21"/>
          <w:szCs w:val="21"/>
          <w:lang w:eastAsia="en-GB"/>
        </w:rPr>
        <w:t>, Caterina and Tuomi, Lisa</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Head &amp; Neck</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BACKGROUND</w:t>
      </w:r>
      <w:r w:rsidRPr="00C86A70">
        <w:rPr>
          <w:rFonts w:ascii="Roboto" w:eastAsia="Times New Roman" w:hAnsi="Roboto" w:cs="Times New Roman"/>
          <w:color w:val="000000"/>
          <w:sz w:val="21"/>
          <w:szCs w:val="21"/>
          <w:lang w:eastAsia="en-GB"/>
        </w:rPr>
        <w:t>: Radiation-associated dysphagia is common after radiotherapy for head and neck cancer and may occur early or years later. The effect of preventive exercises might be undermined by poor adherence. </w:t>
      </w:r>
      <w:r w:rsidRPr="00C86A70">
        <w:rPr>
          <w:rFonts w:ascii="Roboto" w:eastAsia="Times New Roman" w:hAnsi="Roboto" w:cs="Times New Roman"/>
          <w:b/>
          <w:bCs/>
          <w:color w:val="000000"/>
          <w:sz w:val="21"/>
          <w:szCs w:val="21"/>
          <w:lang w:eastAsia="en-GB"/>
        </w:rPr>
        <w:t>AIM</w:t>
      </w:r>
      <w:r w:rsidRPr="00C86A70">
        <w:rPr>
          <w:rFonts w:ascii="Roboto" w:eastAsia="Times New Roman" w:hAnsi="Roboto" w:cs="Times New Roman"/>
          <w:color w:val="000000"/>
          <w:sz w:val="21"/>
          <w:szCs w:val="21"/>
          <w:lang w:eastAsia="en-GB"/>
        </w:rPr>
        <w:t>: To evaluate the effect of a simple preventive exercise protocol on swallowing function up to 12 months after radiotherapy. </w:t>
      </w:r>
      <w:r w:rsidRPr="00C86A70">
        <w:rPr>
          <w:rFonts w:ascii="Roboto" w:eastAsia="Times New Roman" w:hAnsi="Roboto" w:cs="Times New Roman"/>
          <w:b/>
          <w:bCs/>
          <w:color w:val="000000"/>
          <w:sz w:val="21"/>
          <w:szCs w:val="21"/>
          <w:lang w:eastAsia="en-GB"/>
        </w:rPr>
        <w:t>METHODS</w:t>
      </w:r>
      <w:r w:rsidRPr="00C86A70">
        <w:rPr>
          <w:rFonts w:ascii="Roboto" w:eastAsia="Times New Roman" w:hAnsi="Roboto" w:cs="Times New Roman"/>
          <w:color w:val="000000"/>
          <w:sz w:val="21"/>
          <w:szCs w:val="21"/>
          <w:lang w:eastAsia="en-GB"/>
        </w:rPr>
        <w:t>: Patients were randomized to an active group (n = 45) or control group (n = 44). The active group performed preventive exercises including the tongue hold exercise. Assessments were conducted before radiotherapy and at 1, 6, and 12 months post-treatment using the Penetration-Aspiration Scale, DIGEST-FEES, and the M. D. Anderson dysphagia inventory.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No significant differences were found between groups. However, participants with &gt;= 75% adherence in the active group showed significantly less deterioration at 12 months on the penetration-aspiration scale. </w:t>
      </w:r>
      <w:r w:rsidRPr="00C86A70">
        <w:rPr>
          <w:rFonts w:ascii="Roboto" w:eastAsia="Times New Roman" w:hAnsi="Roboto" w:cs="Times New Roman"/>
          <w:b/>
          <w:bCs/>
          <w:color w:val="000000"/>
          <w:sz w:val="21"/>
          <w:szCs w:val="21"/>
          <w:lang w:eastAsia="en-GB"/>
        </w:rPr>
        <w:t>CONCLUSIONS</w:t>
      </w:r>
      <w:r w:rsidRPr="00C86A70">
        <w:rPr>
          <w:rFonts w:ascii="Roboto" w:eastAsia="Times New Roman" w:hAnsi="Roboto" w:cs="Times New Roman"/>
          <w:color w:val="000000"/>
          <w:sz w:val="21"/>
          <w:szCs w:val="21"/>
          <w:lang w:eastAsia="en-GB"/>
        </w:rPr>
        <w:t>: Overall, no significant effect on swallowing function was demonstrated. However, results indicate that high adherence reduces deterioration.</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t>Copyright © 2026 The Author(s). Head &amp; Neck published by Wiley Periodicals LLC.</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19" w:tgtFrame="_blank" w:history="1">
        <w:r w:rsidRPr="00C86A70">
          <w:rPr>
            <w:rFonts w:ascii="Roboto" w:eastAsia="Times New Roman" w:hAnsi="Roboto" w:cs="Times New Roman"/>
            <w:color w:val="0066CC"/>
            <w:sz w:val="21"/>
            <w:szCs w:val="21"/>
            <w:lang w:eastAsia="en-GB"/>
          </w:rPr>
          <w:t>https://libkey.io/10.1002/hed.70407</w:t>
        </w:r>
      </w:hyperlink>
    </w:p>
    <w:p w14:paraId="09108A4C" w14:textId="3CEC6D45"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5. </w:t>
      </w:r>
      <w:r w:rsidRPr="00C86A70">
        <w:rPr>
          <w:rFonts w:ascii="Roboto" w:eastAsia="Times New Roman" w:hAnsi="Roboto" w:cs="Times New Roman"/>
          <w:b/>
          <w:bCs/>
          <w:color w:val="000000"/>
          <w:sz w:val="21"/>
          <w:szCs w:val="21"/>
          <w:lang w:eastAsia="en-GB"/>
        </w:rPr>
        <w:t>Applicability and reliability of the IDDSI functional diet scale (IDDSI-FDS) in clinical reports of patients with oropharyngeal dysphagia.</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xml:space="preserve"> Silva-Carvalho, </w:t>
      </w:r>
      <w:proofErr w:type="spellStart"/>
      <w:r w:rsidRPr="00C86A70">
        <w:rPr>
          <w:rFonts w:ascii="Roboto" w:eastAsia="Times New Roman" w:hAnsi="Roboto" w:cs="Times New Roman"/>
          <w:color w:val="000000"/>
          <w:sz w:val="21"/>
          <w:szCs w:val="21"/>
          <w:lang w:eastAsia="en-GB"/>
        </w:rPr>
        <w:t>Isabel;Martins</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Adriana;Silva</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Marta;Lino</w:t>
      </w:r>
      <w:proofErr w:type="spellEnd"/>
      <w:r w:rsidRPr="00C86A70">
        <w:rPr>
          <w:rFonts w:ascii="Roboto" w:eastAsia="Times New Roman" w:hAnsi="Roboto" w:cs="Times New Roman"/>
          <w:color w:val="000000"/>
          <w:sz w:val="21"/>
          <w:szCs w:val="21"/>
          <w:lang w:eastAsia="en-GB"/>
        </w:rPr>
        <w:t xml:space="preserve">, Joao and </w:t>
      </w:r>
      <w:proofErr w:type="spellStart"/>
      <w:r w:rsidRPr="00C86A70">
        <w:rPr>
          <w:rFonts w:ascii="Roboto" w:eastAsia="Times New Roman" w:hAnsi="Roboto" w:cs="Times New Roman"/>
          <w:color w:val="000000"/>
          <w:sz w:val="21"/>
          <w:szCs w:val="21"/>
          <w:lang w:eastAsia="en-GB"/>
        </w:rPr>
        <w:t>Pedroto</w:t>
      </w:r>
      <w:proofErr w:type="spellEnd"/>
      <w:r w:rsidRPr="00C86A70">
        <w:rPr>
          <w:rFonts w:ascii="Roboto" w:eastAsia="Times New Roman" w:hAnsi="Roboto" w:cs="Times New Roman"/>
          <w:color w:val="000000"/>
          <w:sz w:val="21"/>
          <w:szCs w:val="21"/>
          <w:lang w:eastAsia="en-GB"/>
        </w:rPr>
        <w:t>, Isabel</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European Archives of Oto-Rhino-Laryngology</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BACKGROUND</w:t>
      </w:r>
      <w:r w:rsidRPr="00C86A70">
        <w:rPr>
          <w:rFonts w:ascii="Roboto" w:eastAsia="Times New Roman" w:hAnsi="Roboto" w:cs="Times New Roman"/>
          <w:color w:val="000000"/>
          <w:sz w:val="21"/>
          <w:szCs w:val="21"/>
          <w:lang w:eastAsia="en-GB"/>
        </w:rPr>
        <w:t>: The International Dysphagia Diet Standardization Initiative Functional Diet Scale (IDDSI-FDS) was developed to quantify functional oral intake within the IDDSI framework. Although promising, evidence supporting its use in routine clinical documentation remains limited. This study aimed to examine the applicability of the IDDSI-FDS when retrospectively applied to medical reports of patients with oropharyngeal dysphagia. </w:t>
      </w:r>
      <w:r w:rsidRPr="00C86A70">
        <w:rPr>
          <w:rFonts w:ascii="Roboto" w:eastAsia="Times New Roman" w:hAnsi="Roboto" w:cs="Times New Roman"/>
          <w:b/>
          <w:bCs/>
          <w:color w:val="000000"/>
          <w:sz w:val="21"/>
          <w:szCs w:val="21"/>
          <w:lang w:eastAsia="en-GB"/>
        </w:rPr>
        <w:t>METHODS</w:t>
      </w:r>
      <w:r w:rsidRPr="00C86A70">
        <w:rPr>
          <w:rFonts w:ascii="Roboto" w:eastAsia="Times New Roman" w:hAnsi="Roboto" w:cs="Times New Roman"/>
          <w:color w:val="000000"/>
          <w:sz w:val="21"/>
          <w:szCs w:val="21"/>
          <w:lang w:eastAsia="en-GB"/>
        </w:rPr>
        <w:t xml:space="preserve">: Medical reports were randomly selected from 200 </w:t>
      </w:r>
      <w:proofErr w:type="spellStart"/>
      <w:r w:rsidRPr="00C86A70">
        <w:rPr>
          <w:rFonts w:ascii="Roboto" w:eastAsia="Times New Roman" w:hAnsi="Roboto" w:cs="Times New Roman"/>
          <w:color w:val="000000"/>
          <w:sz w:val="21"/>
          <w:szCs w:val="21"/>
          <w:lang w:eastAsia="en-GB"/>
        </w:rPr>
        <w:t>Fiberoptic</w:t>
      </w:r>
      <w:proofErr w:type="spellEnd"/>
      <w:r w:rsidRPr="00C86A70">
        <w:rPr>
          <w:rFonts w:ascii="Roboto" w:eastAsia="Times New Roman" w:hAnsi="Roboto" w:cs="Times New Roman"/>
          <w:color w:val="000000"/>
          <w:sz w:val="21"/>
          <w:szCs w:val="21"/>
          <w:lang w:eastAsia="en-GB"/>
        </w:rPr>
        <w:t xml:space="preserve"> Endoscopic Evaluation of Swallowing (FEES) examinations performed between January 2024 and September 2025 at a tertiary-care hospital. Three trained raters independently classified each report using IDDSI levels for solids and liquids, the Functional Oral Intake Scale (FOIS), and the corresponding IDDSI-FDS score. After two weeks, raters repeated the classifications under blinded, randomized conditions. Applicability was assessed through classifiable proportion and time required per classification.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xml:space="preserve">: Reliability was examined using weighted Cohen's kappa and </w:t>
      </w:r>
      <w:proofErr w:type="spellStart"/>
      <w:r w:rsidRPr="00C86A70">
        <w:rPr>
          <w:rFonts w:ascii="Roboto" w:eastAsia="Times New Roman" w:hAnsi="Roboto" w:cs="Times New Roman"/>
          <w:color w:val="000000"/>
          <w:sz w:val="21"/>
          <w:szCs w:val="21"/>
          <w:lang w:eastAsia="en-GB"/>
        </w:rPr>
        <w:t>Gwet's</w:t>
      </w:r>
      <w:proofErr w:type="spellEnd"/>
      <w:r w:rsidRPr="00C86A70">
        <w:rPr>
          <w:rFonts w:ascii="Roboto" w:eastAsia="Times New Roman" w:hAnsi="Roboto" w:cs="Times New Roman"/>
          <w:color w:val="000000"/>
          <w:sz w:val="21"/>
          <w:szCs w:val="21"/>
          <w:lang w:eastAsia="en-GB"/>
        </w:rPr>
        <w:t xml:space="preserve"> AC2 (inter- and intra-rater), while convergent validity was assessed via Spearman correlation between FOIS and IDDSI-FDS. Of the 71 initially selected reports, 67 (94.4%) were classifiable after excluding 4 due to incomplete dietary information, confirming high applicability of the scale to standard clinical </w:t>
      </w:r>
      <w:r w:rsidRPr="00C86A70">
        <w:rPr>
          <w:rFonts w:ascii="Roboto" w:eastAsia="Times New Roman" w:hAnsi="Roboto" w:cs="Times New Roman"/>
          <w:color w:val="000000"/>
          <w:sz w:val="21"/>
          <w:szCs w:val="21"/>
          <w:lang w:eastAsia="en-GB"/>
        </w:rPr>
        <w:lastRenderedPageBreak/>
        <w:t>documentation. Mean classification time was 64 +/- 8 s per case. Inter-rater agreement was almost perfect for FOIS (kappa range: 0.991-0.996, AC2: 0.991- 0.996) and perfect for IDDSI-FDS (kappa = 1.00, AC2 = 1.00 for all comparisons). Intra-rater reliability was perfect across all raters and both scales (kappa = 1.00; AC2 = 1.00). FOIS and IDDSI-FDS showed strong positive correlation in both assessment rounds (rho = 0.850, p &lt; .001), demonstrating excellent convergent validity. The IDDSI-FDS can be reliably derived from retrospective FEES documentation, with perfect intra-rater stability and near-perfect inter-rater agreement. Its strong correlation with FOIS supports the functional validity of the scale. These findings indicate that the IDDSI-FDS is a practical, standardizable, and clinically robust tool for documenting dietary recommendations in oropharyngeal dysphagia.</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t>Copyright © 2026. The Author(s), under exclusive licence to Springer-Verlag GmbH Germany, part of Springer Nature.</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20" w:tgtFrame="_blank" w:history="1">
        <w:r w:rsidRPr="00C86A70">
          <w:rPr>
            <w:rFonts w:ascii="Roboto" w:eastAsia="Times New Roman" w:hAnsi="Roboto" w:cs="Times New Roman"/>
            <w:color w:val="0066CC"/>
            <w:sz w:val="21"/>
            <w:szCs w:val="21"/>
            <w:lang w:eastAsia="en-GB"/>
          </w:rPr>
          <w:t>https://libkey.io/10.1007/s00405-026-10531-2</w:t>
        </w:r>
      </w:hyperlink>
    </w:p>
    <w:p w14:paraId="5A9643A7" w14:textId="5528C9C1"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6. </w:t>
      </w:r>
      <w:r w:rsidRPr="00C86A70">
        <w:rPr>
          <w:rFonts w:ascii="Roboto" w:eastAsia="Times New Roman" w:hAnsi="Roboto" w:cs="Times New Roman"/>
          <w:b/>
          <w:bCs/>
          <w:color w:val="000000"/>
          <w:sz w:val="21"/>
          <w:szCs w:val="21"/>
          <w:lang w:eastAsia="en-GB"/>
        </w:rPr>
        <w:t>A Multimodal Assessment of Gastric Motility, Reflux Risk, and Clinical Efficacy: Intermittent Oro-</w:t>
      </w:r>
      <w:proofErr w:type="spellStart"/>
      <w:r w:rsidRPr="00C86A70">
        <w:rPr>
          <w:rFonts w:ascii="Roboto" w:eastAsia="Times New Roman" w:hAnsi="Roboto" w:cs="Times New Roman"/>
          <w:b/>
          <w:bCs/>
          <w:color w:val="000000"/>
          <w:sz w:val="21"/>
          <w:szCs w:val="21"/>
          <w:lang w:eastAsia="en-GB"/>
        </w:rPr>
        <w:t>Esophageal</w:t>
      </w:r>
      <w:proofErr w:type="spellEnd"/>
      <w:r w:rsidRPr="00C86A70">
        <w:rPr>
          <w:rFonts w:ascii="Roboto" w:eastAsia="Times New Roman" w:hAnsi="Roboto" w:cs="Times New Roman"/>
          <w:b/>
          <w:bCs/>
          <w:color w:val="000000"/>
          <w:sz w:val="21"/>
          <w:szCs w:val="21"/>
          <w:lang w:eastAsia="en-GB"/>
        </w:rPr>
        <w:t xml:space="preserve"> Versus Nasogastric Tube Feeding for Poststroke Dysphagia in a Randomized Controlled Trial.</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xml:space="preserve"> Xu, </w:t>
      </w:r>
      <w:proofErr w:type="spellStart"/>
      <w:r w:rsidRPr="00C86A70">
        <w:rPr>
          <w:rFonts w:ascii="Roboto" w:eastAsia="Times New Roman" w:hAnsi="Roboto" w:cs="Times New Roman"/>
          <w:color w:val="000000"/>
          <w:sz w:val="21"/>
          <w:szCs w:val="21"/>
          <w:lang w:eastAsia="en-GB"/>
        </w:rPr>
        <w:t>Jing;Xue</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KaiWen;Li</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XiaoXuan;Xu</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Ying;Gou</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YueQin;Liu</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YiFan;Shan</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LinLin;Zhao</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Jingpu</w:t>
      </w:r>
      <w:proofErr w:type="spellEnd"/>
      <w:r w:rsidRPr="00C86A70">
        <w:rPr>
          <w:rFonts w:ascii="Roboto" w:eastAsia="Times New Roman" w:hAnsi="Roboto" w:cs="Times New Roman"/>
          <w:color w:val="000000"/>
          <w:sz w:val="21"/>
          <w:szCs w:val="21"/>
          <w:lang w:eastAsia="en-GB"/>
        </w:rPr>
        <w:t xml:space="preserve"> and Wang, </w:t>
      </w:r>
      <w:proofErr w:type="spellStart"/>
      <w:r w:rsidRPr="00C86A70">
        <w:rPr>
          <w:rFonts w:ascii="Roboto" w:eastAsia="Times New Roman" w:hAnsi="Roboto" w:cs="Times New Roman"/>
          <w:color w:val="000000"/>
          <w:sz w:val="21"/>
          <w:szCs w:val="21"/>
          <w:lang w:eastAsia="en-GB"/>
        </w:rPr>
        <w:t>YuLong</w:t>
      </w:r>
      <w:proofErr w:type="spellEnd"/>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Archives of Physical Medicine &amp; Rehabilitation</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OBJECTIVE</w:t>
      </w:r>
      <w:r w:rsidRPr="00C86A70">
        <w:rPr>
          <w:rFonts w:ascii="Roboto" w:eastAsia="Times New Roman" w:hAnsi="Roboto" w:cs="Times New Roman"/>
          <w:color w:val="000000"/>
          <w:sz w:val="21"/>
          <w:szCs w:val="21"/>
          <w:lang w:eastAsia="en-GB"/>
        </w:rPr>
        <w:t xml:space="preserve">: To compare the efficacy of intermittent </w:t>
      </w:r>
      <w:proofErr w:type="spellStart"/>
      <w:r w:rsidRPr="00C86A70">
        <w:rPr>
          <w:rFonts w:ascii="Roboto" w:eastAsia="Times New Roman" w:hAnsi="Roboto" w:cs="Times New Roman"/>
          <w:color w:val="000000"/>
          <w:sz w:val="21"/>
          <w:szCs w:val="21"/>
          <w:lang w:eastAsia="en-GB"/>
        </w:rPr>
        <w:t>oro-esophageal</w:t>
      </w:r>
      <w:proofErr w:type="spellEnd"/>
      <w:r w:rsidRPr="00C86A70">
        <w:rPr>
          <w:rFonts w:ascii="Roboto" w:eastAsia="Times New Roman" w:hAnsi="Roboto" w:cs="Times New Roman"/>
          <w:color w:val="000000"/>
          <w:sz w:val="21"/>
          <w:szCs w:val="21"/>
          <w:lang w:eastAsia="en-GB"/>
        </w:rPr>
        <w:t xml:space="preserve"> tube feeding (IOE) versus nasogastric tube feeding (NG) in reducing reflux risk and supporting swallowing recovery in patients with poststroke dysphagia (PSD). </w:t>
      </w:r>
      <w:r w:rsidRPr="00C86A70">
        <w:rPr>
          <w:rFonts w:ascii="Roboto" w:eastAsia="Times New Roman" w:hAnsi="Roboto" w:cs="Times New Roman"/>
          <w:b/>
          <w:bCs/>
          <w:color w:val="000000"/>
          <w:sz w:val="21"/>
          <w:szCs w:val="21"/>
          <w:lang w:eastAsia="en-GB"/>
        </w:rPr>
        <w:t>DESIGN</w:t>
      </w:r>
      <w:r w:rsidRPr="00C86A70">
        <w:rPr>
          <w:rFonts w:ascii="Roboto" w:eastAsia="Times New Roman" w:hAnsi="Roboto" w:cs="Times New Roman"/>
          <w:color w:val="000000"/>
          <w:sz w:val="21"/>
          <w:szCs w:val="21"/>
          <w:lang w:eastAsia="en-GB"/>
        </w:rPr>
        <w:t>: A prospective, single-</w:t>
      </w:r>
      <w:proofErr w:type="spellStart"/>
      <w:r w:rsidRPr="00C86A70">
        <w:rPr>
          <w:rFonts w:ascii="Roboto" w:eastAsia="Times New Roman" w:hAnsi="Roboto" w:cs="Times New Roman"/>
          <w:color w:val="000000"/>
          <w:sz w:val="21"/>
          <w:szCs w:val="21"/>
          <w:lang w:eastAsia="en-GB"/>
        </w:rPr>
        <w:t>center</w:t>
      </w:r>
      <w:proofErr w:type="spellEnd"/>
      <w:r w:rsidRPr="00C86A70">
        <w:rPr>
          <w:rFonts w:ascii="Roboto" w:eastAsia="Times New Roman" w:hAnsi="Roboto" w:cs="Times New Roman"/>
          <w:color w:val="000000"/>
          <w:sz w:val="21"/>
          <w:szCs w:val="21"/>
          <w:lang w:eastAsia="en-GB"/>
        </w:rPr>
        <w:t>, randomized controlled trial with blinded outcome assessment. </w:t>
      </w:r>
      <w:r w:rsidRPr="00C86A70">
        <w:rPr>
          <w:rFonts w:ascii="Roboto" w:eastAsia="Times New Roman" w:hAnsi="Roboto" w:cs="Times New Roman"/>
          <w:b/>
          <w:bCs/>
          <w:color w:val="000000"/>
          <w:sz w:val="21"/>
          <w:szCs w:val="21"/>
          <w:lang w:eastAsia="en-GB"/>
        </w:rPr>
        <w:t>SETTING</w:t>
      </w:r>
      <w:r w:rsidRPr="00C86A70">
        <w:rPr>
          <w:rFonts w:ascii="Roboto" w:eastAsia="Times New Roman" w:hAnsi="Roboto" w:cs="Times New Roman"/>
          <w:color w:val="000000"/>
          <w:sz w:val="21"/>
          <w:szCs w:val="21"/>
          <w:lang w:eastAsia="en-GB"/>
        </w:rPr>
        <w:t>: Department of Rehabilitation Medicine at a university-affiliated hospital in China. </w:t>
      </w:r>
      <w:r w:rsidRPr="00C86A70">
        <w:rPr>
          <w:rFonts w:ascii="Roboto" w:eastAsia="Times New Roman" w:hAnsi="Roboto" w:cs="Times New Roman"/>
          <w:b/>
          <w:bCs/>
          <w:color w:val="000000"/>
          <w:sz w:val="21"/>
          <w:szCs w:val="21"/>
          <w:lang w:eastAsia="en-GB"/>
        </w:rPr>
        <w:t>PARTICIPANTS</w:t>
      </w:r>
      <w:r w:rsidRPr="00C86A70">
        <w:rPr>
          <w:rFonts w:ascii="Roboto" w:eastAsia="Times New Roman" w:hAnsi="Roboto" w:cs="Times New Roman"/>
          <w:color w:val="000000"/>
          <w:sz w:val="21"/>
          <w:szCs w:val="21"/>
          <w:lang w:eastAsia="en-GB"/>
        </w:rPr>
        <w:t>: Fifty-four adults with PSD confirmed by video fluoroscopic swallowing study. </w:t>
      </w:r>
      <w:r w:rsidRPr="00C86A70">
        <w:rPr>
          <w:rFonts w:ascii="Roboto" w:eastAsia="Times New Roman" w:hAnsi="Roboto" w:cs="Times New Roman"/>
          <w:b/>
          <w:bCs/>
          <w:color w:val="000000"/>
          <w:sz w:val="21"/>
          <w:szCs w:val="21"/>
          <w:lang w:eastAsia="en-GB"/>
        </w:rPr>
        <w:t>INTERVENTIONS</w:t>
      </w:r>
      <w:r w:rsidRPr="00C86A70">
        <w:rPr>
          <w:rFonts w:ascii="Roboto" w:eastAsia="Times New Roman" w:hAnsi="Roboto" w:cs="Times New Roman"/>
          <w:color w:val="000000"/>
          <w:sz w:val="21"/>
          <w:szCs w:val="21"/>
          <w:lang w:eastAsia="en-GB"/>
        </w:rPr>
        <w:t xml:space="preserve">: Participants were randomly assigned to receive enteral nutrition support via either intermittent </w:t>
      </w:r>
      <w:proofErr w:type="spellStart"/>
      <w:r w:rsidRPr="00C86A70">
        <w:rPr>
          <w:rFonts w:ascii="Roboto" w:eastAsia="Times New Roman" w:hAnsi="Roboto" w:cs="Times New Roman"/>
          <w:color w:val="000000"/>
          <w:sz w:val="21"/>
          <w:szCs w:val="21"/>
          <w:lang w:eastAsia="en-GB"/>
        </w:rPr>
        <w:t>oro-esophageal</w:t>
      </w:r>
      <w:proofErr w:type="spellEnd"/>
      <w:r w:rsidRPr="00C86A70">
        <w:rPr>
          <w:rFonts w:ascii="Roboto" w:eastAsia="Times New Roman" w:hAnsi="Roboto" w:cs="Times New Roman"/>
          <w:color w:val="000000"/>
          <w:sz w:val="21"/>
          <w:szCs w:val="21"/>
          <w:lang w:eastAsia="en-GB"/>
        </w:rPr>
        <w:t xml:space="preserve"> tube feeding (IOE [group, n=27]) or continuous NG (group, n=27) for 14 days, alongside standardized swallowing rehabilitation. </w:t>
      </w:r>
      <w:r w:rsidRPr="00C86A70">
        <w:rPr>
          <w:rFonts w:ascii="Roboto" w:eastAsia="Times New Roman" w:hAnsi="Roboto" w:cs="Times New Roman"/>
          <w:b/>
          <w:bCs/>
          <w:color w:val="000000"/>
          <w:sz w:val="21"/>
          <w:szCs w:val="21"/>
          <w:lang w:eastAsia="en-GB"/>
        </w:rPr>
        <w:t>MAIN OUTCOME MEASURES</w:t>
      </w:r>
      <w:r w:rsidRPr="00C86A70">
        <w:rPr>
          <w:rFonts w:ascii="Roboto" w:eastAsia="Times New Roman" w:hAnsi="Roboto" w:cs="Times New Roman"/>
          <w:color w:val="000000"/>
          <w:sz w:val="21"/>
          <w:szCs w:val="21"/>
          <w:lang w:eastAsia="en-GB"/>
        </w:rPr>
        <w:t>: The primary outcomes were gastric emptying rate (measured via ultrasonographic gastric antrum cross-sectional area [CSA]) and immediate postprandial reflux-mediated aspiration risk (assessed by gastric volume-to-weight ratio). Secondary outcomes included tube-feeding removal success and swallowing function (Kubota Water Swallowing Test and Functional Oral Intake Scale).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No significant differences in gastric emptying rate or antrum CSA were observed between groups (evaluated at baseline and postintervention, all P&gt;.05). The IOE group demonstrated a significantly lower immediate postprandial reflux-mediated aspiration risk (F=5.467; P=.023), a higher tube-feeding removal success (chi2=4.964; P=.02), and greater improvement in swallowing function (P: No significant differences in gastric emptying rate or antrum CSA were observed between groups (evaluated at baseline and postintervention, all P&gt;.05). The IOE group demonstrated a significantly lower immediate postprandial reflux-mediated aspiration risk (F=5.467; P=.023), a higher tube-feeding removal success (chi2=4.964; P=.02), and greater improvement in swallowing function (P</w:t>
      </w:r>
      <w:r w:rsidRPr="00C86A70">
        <w:rPr>
          <w:rFonts w:ascii="Roboto" w:eastAsia="Times New Roman" w:hAnsi="Roboto" w:cs="Times New Roman"/>
          <w:b/>
          <w:bCs/>
          <w:color w:val="000000"/>
          <w:sz w:val="21"/>
          <w:szCs w:val="21"/>
          <w:lang w:eastAsia="en-GB"/>
        </w:rPr>
        <w:t>CONCLUSIONS</w:t>
      </w:r>
      <w:r w:rsidRPr="00C86A70">
        <w:rPr>
          <w:rFonts w:ascii="Roboto" w:eastAsia="Times New Roman" w:hAnsi="Roboto" w:cs="Times New Roman"/>
          <w:color w:val="000000"/>
          <w:sz w:val="21"/>
          <w:szCs w:val="21"/>
          <w:lang w:eastAsia="en-GB"/>
        </w:rPr>
        <w:t>: For patients with PSD, IOE may offer a potential advantage over NG feeding in reducing immediate reflux risk and promoting swallowing recovery. The treatment benefit is more pronounced in patients with severe baseline functional impairment. IOE should be considered a first-line enteral strategy for this population.</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lastRenderedPageBreak/>
        <w:t>Copyright © 2026 The Authors. Published by Elsevier Inc. All rights reserved.</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21" w:tgtFrame="_blank" w:history="1">
        <w:r w:rsidRPr="00C86A70">
          <w:rPr>
            <w:rFonts w:ascii="Roboto" w:eastAsia="Times New Roman" w:hAnsi="Roboto" w:cs="Times New Roman"/>
            <w:color w:val="0066CC"/>
            <w:sz w:val="21"/>
            <w:szCs w:val="21"/>
            <w:lang w:eastAsia="en-GB"/>
          </w:rPr>
          <w:t>https://libkey.io/10.1016/j.apmr.2026.07.013</w:t>
        </w:r>
      </w:hyperlink>
    </w:p>
    <w:p w14:paraId="0B4A9345" w14:textId="51AE376C" w:rsidR="00DD6D1E" w:rsidRDefault="00C86A70" w:rsidP="00C86A70">
      <w:pPr>
        <w:pStyle w:val="Default"/>
        <w:rPr>
          <w:b/>
          <w:bCs/>
          <w:sz w:val="20"/>
          <w:szCs w:val="22"/>
        </w:rPr>
      </w:pPr>
      <w:r w:rsidRPr="00C86A70">
        <w:rPr>
          <w:rFonts w:ascii="Roboto" w:eastAsia="Times New Roman" w:hAnsi="Roboto" w:cs="Times New Roman"/>
          <w:sz w:val="21"/>
          <w:szCs w:val="21"/>
          <w:lang w:eastAsia="en-GB"/>
        </w:rPr>
        <w:br/>
      </w:r>
      <w:r w:rsidRPr="00C86A70">
        <w:rPr>
          <w:rFonts w:ascii="Roboto" w:eastAsia="Times New Roman" w:hAnsi="Roboto" w:cs="Times New Roman"/>
          <w:i/>
          <w:iCs/>
          <w:sz w:val="21"/>
          <w:szCs w:val="21"/>
          <w:shd w:val="clear" w:color="auto" w:fill="FFFFFF"/>
          <w:lang w:eastAsia="en-GB"/>
        </w:rPr>
        <w:t>You will need your </w:t>
      </w:r>
      <w:hyperlink r:id="rId22" w:history="1">
        <w:r w:rsidRPr="00C86A70">
          <w:rPr>
            <w:rFonts w:ascii="Roboto" w:eastAsia="Times New Roman" w:hAnsi="Roboto" w:cs="Times New Roman"/>
            <w:i/>
            <w:iCs/>
            <w:color w:val="0066CC"/>
            <w:sz w:val="21"/>
            <w:szCs w:val="21"/>
            <w:lang w:eastAsia="en-GB"/>
          </w:rPr>
          <w:t xml:space="preserve">NHS </w:t>
        </w:r>
        <w:proofErr w:type="spellStart"/>
        <w:r w:rsidRPr="00C86A70">
          <w:rPr>
            <w:rFonts w:ascii="Roboto" w:eastAsia="Times New Roman" w:hAnsi="Roboto" w:cs="Times New Roman"/>
            <w:i/>
            <w:iCs/>
            <w:color w:val="0066CC"/>
            <w:sz w:val="21"/>
            <w:szCs w:val="21"/>
            <w:lang w:eastAsia="en-GB"/>
          </w:rPr>
          <w:t>OpenAthens</w:t>
        </w:r>
        <w:proofErr w:type="spellEnd"/>
        <w:r w:rsidRPr="00C86A70">
          <w:rPr>
            <w:rFonts w:ascii="Roboto" w:eastAsia="Times New Roman" w:hAnsi="Roboto" w:cs="Times New Roman"/>
            <w:i/>
            <w:iCs/>
            <w:color w:val="0066CC"/>
            <w:sz w:val="21"/>
            <w:szCs w:val="21"/>
            <w:lang w:eastAsia="en-GB"/>
          </w:rPr>
          <w:t xml:space="preserve"> account</w:t>
        </w:r>
      </w:hyperlink>
      <w:r w:rsidRPr="00C86A70">
        <w:rPr>
          <w:rFonts w:ascii="Roboto" w:eastAsia="Times New Roman" w:hAnsi="Roboto" w:cs="Times New Roman"/>
          <w:i/>
          <w:iCs/>
          <w:sz w:val="21"/>
          <w:szCs w:val="21"/>
          <w:shd w:val="clear" w:color="auto" w:fill="FFFFFF"/>
          <w:lang w:eastAsia="en-GB"/>
        </w:rPr>
        <w:t> to access the full text of licenced content.</w:t>
      </w:r>
      <w:r w:rsidRPr="00C86A70">
        <w:rPr>
          <w:rFonts w:ascii="Roboto" w:eastAsia="Times New Roman" w:hAnsi="Roboto" w:cs="Times New Roman"/>
          <w:sz w:val="21"/>
          <w:szCs w:val="21"/>
          <w:lang w:eastAsia="en-GB"/>
        </w:rPr>
        <w:br/>
      </w:r>
      <w:r w:rsidRPr="00C86A70">
        <w:rPr>
          <w:rFonts w:ascii="Roboto" w:eastAsia="Times New Roman" w:hAnsi="Roboto" w:cs="Times New Roman"/>
          <w:i/>
          <w:iCs/>
          <w:sz w:val="21"/>
          <w:szCs w:val="21"/>
          <w:shd w:val="clear" w:color="auto" w:fill="FFFFFF"/>
          <w:lang w:eastAsia="en-GB"/>
        </w:rPr>
        <w:t>This service is provided to the NHS in England by NHSE Workforce, Training &amp; Education.</w:t>
      </w:r>
    </w:p>
    <w:p w14:paraId="470063AE" w14:textId="77777777" w:rsidR="00DD6D1E" w:rsidRDefault="00E530FB" w:rsidP="003E7AE2">
      <w:pPr>
        <w:pStyle w:val="Heading1"/>
      </w:pPr>
      <w:bookmarkStart w:id="2" w:name="_Toc239259696"/>
      <w:proofErr w:type="spellStart"/>
      <w:r>
        <w:t>Videofluoroscopy</w:t>
      </w:r>
      <w:bookmarkEnd w:id="2"/>
      <w:proofErr w:type="spellEnd"/>
    </w:p>
    <w:p w14:paraId="6A86D724" w14:textId="2179E389"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1. </w:t>
      </w:r>
      <w:r w:rsidRPr="00C86A70">
        <w:rPr>
          <w:rFonts w:ascii="Roboto" w:eastAsia="Times New Roman" w:hAnsi="Roboto" w:cs="Times New Roman"/>
          <w:b/>
          <w:bCs/>
          <w:color w:val="000000"/>
          <w:sz w:val="21"/>
          <w:szCs w:val="21"/>
          <w:lang w:eastAsia="en-GB"/>
        </w:rPr>
        <w:t>MDADI as a Screening Tool for VFSS-Graded Swallowing Impairment in Head and Neck Cancer Patients.</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Brumm, Zachary G.;</w:t>
      </w:r>
      <w:proofErr w:type="spellStart"/>
      <w:r w:rsidRPr="00C86A70">
        <w:rPr>
          <w:rFonts w:ascii="Roboto" w:eastAsia="Times New Roman" w:hAnsi="Roboto" w:cs="Times New Roman"/>
          <w:color w:val="000000"/>
          <w:sz w:val="21"/>
          <w:szCs w:val="21"/>
          <w:lang w:eastAsia="en-GB"/>
        </w:rPr>
        <w:t>Anyimadu</w:t>
      </w:r>
      <w:proofErr w:type="spellEnd"/>
      <w:r w:rsidRPr="00C86A70">
        <w:rPr>
          <w:rFonts w:ascii="Roboto" w:eastAsia="Times New Roman" w:hAnsi="Roboto" w:cs="Times New Roman"/>
          <w:color w:val="000000"/>
          <w:sz w:val="21"/>
          <w:szCs w:val="21"/>
          <w:lang w:eastAsia="en-GB"/>
        </w:rPr>
        <w:t xml:space="preserve">, Eric </w:t>
      </w:r>
      <w:proofErr w:type="spellStart"/>
      <w:r w:rsidRPr="00C86A70">
        <w:rPr>
          <w:rFonts w:ascii="Roboto" w:eastAsia="Times New Roman" w:hAnsi="Roboto" w:cs="Times New Roman"/>
          <w:color w:val="000000"/>
          <w:sz w:val="21"/>
          <w:szCs w:val="21"/>
          <w:lang w:eastAsia="en-GB"/>
        </w:rPr>
        <w:t>A.;Kohli</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Meera;Silver</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Jennifer;Manduchi</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Beatrice;Hutcheson</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Katherine;Gulati</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Arushi;Marai</w:t>
      </w:r>
      <w:proofErr w:type="spellEnd"/>
      <w:r w:rsidRPr="00C86A70">
        <w:rPr>
          <w:rFonts w:ascii="Roboto" w:eastAsia="Times New Roman" w:hAnsi="Roboto" w:cs="Times New Roman"/>
          <w:color w:val="000000"/>
          <w:sz w:val="21"/>
          <w:szCs w:val="21"/>
          <w:lang w:eastAsia="en-GB"/>
        </w:rPr>
        <w:t xml:space="preserve">, G. </w:t>
      </w:r>
      <w:proofErr w:type="spellStart"/>
      <w:r w:rsidRPr="00C86A70">
        <w:rPr>
          <w:rFonts w:ascii="Roboto" w:eastAsia="Times New Roman" w:hAnsi="Roboto" w:cs="Times New Roman"/>
          <w:color w:val="000000"/>
          <w:sz w:val="21"/>
          <w:szCs w:val="21"/>
          <w:lang w:eastAsia="en-GB"/>
        </w:rPr>
        <w:t>Elisabeta;Crosby</w:t>
      </w:r>
      <w:proofErr w:type="spellEnd"/>
      <w:r w:rsidRPr="00C86A70">
        <w:rPr>
          <w:rFonts w:ascii="Roboto" w:eastAsia="Times New Roman" w:hAnsi="Roboto" w:cs="Times New Roman"/>
          <w:color w:val="000000"/>
          <w:sz w:val="21"/>
          <w:szCs w:val="21"/>
          <w:lang w:eastAsia="en-GB"/>
        </w:rPr>
        <w:t xml:space="preserve">, Tyler </w:t>
      </w:r>
      <w:proofErr w:type="spellStart"/>
      <w:r w:rsidRPr="00C86A70">
        <w:rPr>
          <w:rFonts w:ascii="Roboto" w:eastAsia="Times New Roman" w:hAnsi="Roboto" w:cs="Times New Roman"/>
          <w:color w:val="000000"/>
          <w:sz w:val="21"/>
          <w:szCs w:val="21"/>
          <w:lang w:eastAsia="en-GB"/>
        </w:rPr>
        <w:t>W.;Rosen</w:t>
      </w:r>
      <w:proofErr w:type="spellEnd"/>
      <w:r w:rsidRPr="00C86A70">
        <w:rPr>
          <w:rFonts w:ascii="Roboto" w:eastAsia="Times New Roman" w:hAnsi="Roboto" w:cs="Times New Roman"/>
          <w:color w:val="000000"/>
          <w:sz w:val="21"/>
          <w:szCs w:val="21"/>
          <w:lang w:eastAsia="en-GB"/>
        </w:rPr>
        <w:t xml:space="preserve">, Clark </w:t>
      </w:r>
      <w:proofErr w:type="spellStart"/>
      <w:r w:rsidRPr="00C86A70">
        <w:rPr>
          <w:rFonts w:ascii="Roboto" w:eastAsia="Times New Roman" w:hAnsi="Roboto" w:cs="Times New Roman"/>
          <w:color w:val="000000"/>
          <w:sz w:val="21"/>
          <w:szCs w:val="21"/>
          <w:lang w:eastAsia="en-GB"/>
        </w:rPr>
        <w:t>A.;Young</w:t>
      </w:r>
      <w:proofErr w:type="spellEnd"/>
      <w:r w:rsidRPr="00C86A70">
        <w:rPr>
          <w:rFonts w:ascii="Roboto" w:eastAsia="Times New Roman" w:hAnsi="Roboto" w:cs="Times New Roman"/>
          <w:color w:val="000000"/>
          <w:sz w:val="21"/>
          <w:szCs w:val="21"/>
          <w:lang w:eastAsia="en-GB"/>
        </w:rPr>
        <w:t>, VyVy N.;</w:t>
      </w:r>
      <w:proofErr w:type="spellStart"/>
      <w:r w:rsidRPr="00C86A70">
        <w:rPr>
          <w:rFonts w:ascii="Roboto" w:eastAsia="Times New Roman" w:hAnsi="Roboto" w:cs="Times New Roman"/>
          <w:color w:val="000000"/>
          <w:sz w:val="21"/>
          <w:szCs w:val="21"/>
          <w:lang w:eastAsia="en-GB"/>
        </w:rPr>
        <w:t>Canahuate</w:t>
      </w:r>
      <w:proofErr w:type="spellEnd"/>
      <w:r w:rsidRPr="00C86A70">
        <w:rPr>
          <w:rFonts w:ascii="Roboto" w:eastAsia="Times New Roman" w:hAnsi="Roboto" w:cs="Times New Roman"/>
          <w:color w:val="000000"/>
          <w:sz w:val="21"/>
          <w:szCs w:val="21"/>
          <w:lang w:eastAsia="en-GB"/>
        </w:rPr>
        <w:t>, Guadalupe and Ma, Yue</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Laryngoscope</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OBJECTIVES</w:t>
      </w:r>
      <w:r w:rsidRPr="00C86A70">
        <w:rPr>
          <w:rFonts w:ascii="Roboto" w:eastAsia="Times New Roman" w:hAnsi="Roboto" w:cs="Times New Roman"/>
          <w:color w:val="000000"/>
          <w:sz w:val="21"/>
          <w:szCs w:val="21"/>
          <w:lang w:eastAsia="en-GB"/>
        </w:rPr>
        <w:t xml:space="preserve">: To determine clinically useful MD Anderson Dysphagia Inventory (MDADI) thresholds associated with </w:t>
      </w:r>
      <w:proofErr w:type="spellStart"/>
      <w:r w:rsidRPr="00C86A70">
        <w:rPr>
          <w:rFonts w:ascii="Roboto" w:eastAsia="Times New Roman" w:hAnsi="Roboto" w:cs="Times New Roman"/>
          <w:color w:val="000000"/>
          <w:sz w:val="21"/>
          <w:szCs w:val="21"/>
          <w:lang w:eastAsia="en-GB"/>
        </w:rPr>
        <w:t>Videofluoroscopic</w:t>
      </w:r>
      <w:proofErr w:type="spellEnd"/>
      <w:r w:rsidRPr="00C86A70">
        <w:rPr>
          <w:rFonts w:ascii="Roboto" w:eastAsia="Times New Roman" w:hAnsi="Roboto" w:cs="Times New Roman"/>
          <w:color w:val="000000"/>
          <w:sz w:val="21"/>
          <w:szCs w:val="21"/>
          <w:lang w:eastAsia="en-GB"/>
        </w:rPr>
        <w:t xml:space="preserve"> swallow study (VFSS)-graded swallowing impairment in head and neck cancer (HNC) patients and to explore whether a reduced-item MDADI could preserve discrimination while minimizing patient burden. </w:t>
      </w:r>
      <w:r w:rsidRPr="00C86A70">
        <w:rPr>
          <w:rFonts w:ascii="Roboto" w:eastAsia="Times New Roman" w:hAnsi="Roboto" w:cs="Times New Roman"/>
          <w:b/>
          <w:bCs/>
          <w:color w:val="000000"/>
          <w:sz w:val="21"/>
          <w:szCs w:val="21"/>
          <w:lang w:eastAsia="en-GB"/>
        </w:rPr>
        <w:t>METHODS</w:t>
      </w:r>
      <w:r w:rsidRPr="00C86A70">
        <w:rPr>
          <w:rFonts w:ascii="Roboto" w:eastAsia="Times New Roman" w:hAnsi="Roboto" w:cs="Times New Roman"/>
          <w:color w:val="000000"/>
          <w:sz w:val="21"/>
          <w:szCs w:val="21"/>
          <w:lang w:eastAsia="en-GB"/>
        </w:rPr>
        <w:t xml:space="preserve">: This retrospective cross-sectional study </w:t>
      </w:r>
      <w:proofErr w:type="spellStart"/>
      <w:r w:rsidRPr="00C86A70">
        <w:rPr>
          <w:rFonts w:ascii="Roboto" w:eastAsia="Times New Roman" w:hAnsi="Roboto" w:cs="Times New Roman"/>
          <w:color w:val="000000"/>
          <w:sz w:val="21"/>
          <w:szCs w:val="21"/>
          <w:lang w:eastAsia="en-GB"/>
        </w:rPr>
        <w:t>analyzed</w:t>
      </w:r>
      <w:proofErr w:type="spellEnd"/>
      <w:r w:rsidRPr="00C86A70">
        <w:rPr>
          <w:rFonts w:ascii="Roboto" w:eastAsia="Times New Roman" w:hAnsi="Roboto" w:cs="Times New Roman"/>
          <w:color w:val="000000"/>
          <w:sz w:val="21"/>
          <w:szCs w:val="21"/>
          <w:lang w:eastAsia="en-GB"/>
        </w:rPr>
        <w:t xml:space="preserve"> HNC patients from a prospectively maintained dysphagia surveillance program who completed the MDADI within 120 days of VFSS. Associations between MDADI and VFSS metrics were assessed using Spearman and point-biserial correlations. Swallowing impairment was defined using Dynamic Imaging Grade of Swallowing Toxicity (DIGEST) and Penetration-Aspiration Scale (PAS) with clinically relevant dichotomization. Optimal MDADI composite score thresholds were derived using Youden's J statistic, and exploratory item reduction investigated the ability of a concise subset to preserve discrimination of clinically significant impairment.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xml:space="preserve">: A total of 208 patients contributed 470 MDADI-VFSS observations for PAS and 443 for DIGEST (mean follow-up 3.7 years and MDADI-VFSS interval 56 +/- 35.9 days). MDADI composite scores showed moderately strong and moderate inverse correlations with DIGEST (r = -0.63, </w:t>
      </w:r>
      <w:proofErr w:type="gramStart"/>
      <w:r w:rsidRPr="00C86A70">
        <w:rPr>
          <w:rFonts w:ascii="Roboto" w:eastAsia="Times New Roman" w:hAnsi="Roboto" w:cs="Times New Roman"/>
          <w:color w:val="000000"/>
          <w:sz w:val="21"/>
          <w:szCs w:val="21"/>
          <w:lang w:eastAsia="en-GB"/>
        </w:rPr>
        <w:t>p :</w:t>
      </w:r>
      <w:proofErr w:type="gramEnd"/>
      <w:r w:rsidRPr="00C86A70">
        <w:rPr>
          <w:rFonts w:ascii="Roboto" w:eastAsia="Times New Roman" w:hAnsi="Roboto" w:cs="Times New Roman"/>
          <w:color w:val="000000"/>
          <w:sz w:val="21"/>
          <w:szCs w:val="21"/>
          <w:lang w:eastAsia="en-GB"/>
        </w:rPr>
        <w:t xml:space="preserve"> A total of 208 patients contributed 470 MDADI-VFSS observations for PAS and 443 for DIGEST (mean follow-up 3.7 years and MDADI-VFSS interval 56 +/- 35.9 days). MDADI composite scores showed moderately strong and moderate inverse correlations with DIGEST (r = -0.63, p = 2. A four-item MDADI short form (F3, E3, E4, and P6) showed strong agreement with Composite score (r = 0.96), with good discrimination of DIGEST-defined impairment (AUC = 0.85). </w:t>
      </w:r>
      <w:r w:rsidRPr="00C86A70">
        <w:rPr>
          <w:rFonts w:ascii="Roboto" w:eastAsia="Times New Roman" w:hAnsi="Roboto" w:cs="Times New Roman"/>
          <w:b/>
          <w:bCs/>
          <w:color w:val="000000"/>
          <w:sz w:val="21"/>
          <w:szCs w:val="21"/>
          <w:lang w:eastAsia="en-GB"/>
        </w:rPr>
        <w:t>CONCLUSION</w:t>
      </w:r>
      <w:r w:rsidRPr="00C86A70">
        <w:rPr>
          <w:rFonts w:ascii="Roboto" w:eastAsia="Times New Roman" w:hAnsi="Roboto" w:cs="Times New Roman"/>
          <w:color w:val="000000"/>
          <w:sz w:val="21"/>
          <w:szCs w:val="21"/>
          <w:lang w:eastAsia="en-GB"/>
        </w:rPr>
        <w:t>: MDADI scores correlate with VFSS-graded impairment in HNC patients. A composite threshold near 74 may serve as a clinically useful screening parameter for identifying patients requiring swallowing evaluation. </w:t>
      </w:r>
      <w:r w:rsidRPr="00C86A70">
        <w:rPr>
          <w:rFonts w:ascii="Roboto" w:eastAsia="Times New Roman" w:hAnsi="Roboto" w:cs="Times New Roman"/>
          <w:b/>
          <w:bCs/>
          <w:color w:val="000000"/>
          <w:sz w:val="21"/>
          <w:szCs w:val="21"/>
          <w:lang w:eastAsia="en-GB"/>
        </w:rPr>
        <w:t>LEVEL OF EVIDENCE: 3</w:t>
      </w:r>
      <w:r w:rsidRPr="00C86A70">
        <w:rPr>
          <w:rFonts w:ascii="Roboto" w:eastAsia="Times New Roman" w:hAnsi="Roboto" w:cs="Times New Roman"/>
          <w:color w:val="000000"/>
          <w:sz w:val="21"/>
          <w:szCs w:val="21"/>
          <w:lang w:eastAsia="en-GB"/>
        </w:rPr>
        <w:t>:</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23" w:tgtFrame="_blank" w:history="1">
        <w:r w:rsidRPr="00C86A70">
          <w:rPr>
            <w:rFonts w:ascii="Roboto" w:eastAsia="Times New Roman" w:hAnsi="Roboto" w:cs="Times New Roman"/>
            <w:color w:val="0066CC"/>
            <w:sz w:val="21"/>
            <w:szCs w:val="21"/>
            <w:lang w:eastAsia="en-GB"/>
          </w:rPr>
          <w:t>https://libkey.io/10.1002/lary.70835</w:t>
        </w:r>
      </w:hyperlink>
    </w:p>
    <w:p w14:paraId="51F8642E" w14:textId="5734817D"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2. </w:t>
      </w:r>
      <w:r w:rsidRPr="00C86A70">
        <w:rPr>
          <w:rFonts w:ascii="Roboto" w:eastAsia="Times New Roman" w:hAnsi="Roboto" w:cs="Times New Roman"/>
          <w:b/>
          <w:bCs/>
          <w:color w:val="000000"/>
          <w:sz w:val="21"/>
          <w:szCs w:val="21"/>
          <w:lang w:eastAsia="en-GB"/>
        </w:rPr>
        <w:t xml:space="preserve">Safety and efficacy of a </w:t>
      </w:r>
      <w:proofErr w:type="spellStart"/>
      <w:r w:rsidRPr="00C86A70">
        <w:rPr>
          <w:rFonts w:ascii="Roboto" w:eastAsia="Times New Roman" w:hAnsi="Roboto" w:cs="Times New Roman"/>
          <w:b/>
          <w:bCs/>
          <w:color w:val="000000"/>
          <w:sz w:val="21"/>
          <w:szCs w:val="21"/>
          <w:lang w:eastAsia="en-GB"/>
        </w:rPr>
        <w:t>nonionic</w:t>
      </w:r>
      <w:proofErr w:type="spellEnd"/>
      <w:r w:rsidRPr="00C86A70">
        <w:rPr>
          <w:rFonts w:ascii="Roboto" w:eastAsia="Times New Roman" w:hAnsi="Roboto" w:cs="Times New Roman"/>
          <w:b/>
          <w:bCs/>
          <w:color w:val="000000"/>
          <w:sz w:val="21"/>
          <w:szCs w:val="21"/>
          <w:lang w:eastAsia="en-GB"/>
        </w:rPr>
        <w:t xml:space="preserve"> water-soluble iodinated contrast medium for </w:t>
      </w:r>
      <w:proofErr w:type="spellStart"/>
      <w:r w:rsidRPr="00C86A70">
        <w:rPr>
          <w:rFonts w:ascii="Roboto" w:eastAsia="Times New Roman" w:hAnsi="Roboto" w:cs="Times New Roman"/>
          <w:b/>
          <w:bCs/>
          <w:color w:val="000000"/>
          <w:sz w:val="21"/>
          <w:szCs w:val="21"/>
          <w:lang w:eastAsia="en-GB"/>
        </w:rPr>
        <w:t>videofluoroscopic</w:t>
      </w:r>
      <w:proofErr w:type="spellEnd"/>
      <w:r w:rsidRPr="00C86A70">
        <w:rPr>
          <w:rFonts w:ascii="Roboto" w:eastAsia="Times New Roman" w:hAnsi="Roboto" w:cs="Times New Roman"/>
          <w:b/>
          <w:bCs/>
          <w:color w:val="000000"/>
          <w:sz w:val="21"/>
          <w:szCs w:val="21"/>
          <w:lang w:eastAsia="en-GB"/>
        </w:rPr>
        <w:t xml:space="preserve"> swallowing studies.</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xml:space="preserve"> Konishi, </w:t>
      </w:r>
      <w:proofErr w:type="spellStart"/>
      <w:r w:rsidRPr="00C86A70">
        <w:rPr>
          <w:rFonts w:ascii="Roboto" w:eastAsia="Times New Roman" w:hAnsi="Roboto" w:cs="Times New Roman"/>
          <w:color w:val="000000"/>
          <w:sz w:val="21"/>
          <w:szCs w:val="21"/>
          <w:lang w:eastAsia="en-GB"/>
        </w:rPr>
        <w:t>Masaru;Nagasaki</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Toshikazu;Shimabukuro</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Kiichi;Yamada</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Sachiko;Yoshikawa</w:t>
      </w:r>
      <w:proofErr w:type="spellEnd"/>
      <w:r w:rsidRPr="00C86A70">
        <w:rPr>
          <w:rFonts w:ascii="Roboto" w:eastAsia="Times New Roman" w:hAnsi="Roboto" w:cs="Times New Roman"/>
          <w:color w:val="000000"/>
          <w:sz w:val="21"/>
          <w:szCs w:val="21"/>
          <w:lang w:eastAsia="en-GB"/>
        </w:rPr>
        <w:t>, Mineka and Kakimoto, Naoya</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lastRenderedPageBreak/>
        <w:t>Journal: </w:t>
      </w:r>
      <w:r w:rsidRPr="00C86A70">
        <w:rPr>
          <w:rFonts w:ascii="Roboto" w:eastAsia="Times New Roman" w:hAnsi="Roboto" w:cs="Times New Roman"/>
          <w:color w:val="000000"/>
          <w:sz w:val="21"/>
          <w:szCs w:val="21"/>
          <w:lang w:eastAsia="en-GB"/>
        </w:rPr>
        <w:t>Oral Radiology</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OBJECTIVES</w:t>
      </w:r>
      <w:r w:rsidRPr="00C86A70">
        <w:rPr>
          <w:rFonts w:ascii="Roboto" w:eastAsia="Times New Roman" w:hAnsi="Roboto" w:cs="Times New Roman"/>
          <w:color w:val="000000"/>
          <w:sz w:val="21"/>
          <w:szCs w:val="21"/>
          <w:lang w:eastAsia="en-GB"/>
        </w:rPr>
        <w:t xml:space="preserve">: This study evaluated the safety and efficacy of an iodinated contrast agent for </w:t>
      </w:r>
      <w:proofErr w:type="spellStart"/>
      <w:r w:rsidRPr="00C86A70">
        <w:rPr>
          <w:rFonts w:ascii="Roboto" w:eastAsia="Times New Roman" w:hAnsi="Roboto" w:cs="Times New Roman"/>
          <w:color w:val="000000"/>
          <w:sz w:val="21"/>
          <w:szCs w:val="21"/>
          <w:lang w:eastAsia="en-GB"/>
        </w:rPr>
        <w:t>videofluoroscopic</w:t>
      </w:r>
      <w:proofErr w:type="spellEnd"/>
      <w:r w:rsidRPr="00C86A70">
        <w:rPr>
          <w:rFonts w:ascii="Roboto" w:eastAsia="Times New Roman" w:hAnsi="Roboto" w:cs="Times New Roman"/>
          <w:color w:val="000000"/>
          <w:sz w:val="21"/>
          <w:szCs w:val="21"/>
          <w:lang w:eastAsia="en-GB"/>
        </w:rPr>
        <w:t xml:space="preserve"> swallowing studies (VFSS) in patients with swallowing disorders, compared with barium </w:t>
      </w:r>
      <w:proofErr w:type="spellStart"/>
      <w:r w:rsidRPr="00C86A70">
        <w:rPr>
          <w:rFonts w:ascii="Roboto" w:eastAsia="Times New Roman" w:hAnsi="Roboto" w:cs="Times New Roman"/>
          <w:color w:val="000000"/>
          <w:sz w:val="21"/>
          <w:szCs w:val="21"/>
          <w:lang w:eastAsia="en-GB"/>
        </w:rPr>
        <w:t>sulfate</w:t>
      </w:r>
      <w:proofErr w:type="spellEnd"/>
      <w:r w:rsidRPr="00C86A70">
        <w:rPr>
          <w:rFonts w:ascii="Roboto" w:eastAsia="Times New Roman" w:hAnsi="Roboto" w:cs="Times New Roman"/>
          <w:color w:val="000000"/>
          <w:sz w:val="21"/>
          <w:szCs w:val="21"/>
          <w:lang w:eastAsia="en-GB"/>
        </w:rPr>
        <w:t xml:space="preserve"> contrast agents. </w:t>
      </w:r>
      <w:r w:rsidRPr="00C86A70">
        <w:rPr>
          <w:rFonts w:ascii="Roboto" w:eastAsia="Times New Roman" w:hAnsi="Roboto" w:cs="Times New Roman"/>
          <w:b/>
          <w:bCs/>
          <w:color w:val="000000"/>
          <w:sz w:val="21"/>
          <w:szCs w:val="21"/>
          <w:lang w:eastAsia="en-GB"/>
        </w:rPr>
        <w:t>METHODS</w:t>
      </w:r>
      <w:r w:rsidRPr="00C86A70">
        <w:rPr>
          <w:rFonts w:ascii="Roboto" w:eastAsia="Times New Roman" w:hAnsi="Roboto" w:cs="Times New Roman"/>
          <w:color w:val="000000"/>
          <w:sz w:val="21"/>
          <w:szCs w:val="21"/>
          <w:lang w:eastAsia="en-GB"/>
        </w:rPr>
        <w:t>: The study included 20 patients who underwent VFSS at Hiroshima University Hospital in 2025 for dysphagia evaluation. Iodixanol (</w:t>
      </w:r>
      <w:proofErr w:type="spellStart"/>
      <w:r w:rsidRPr="00C86A70">
        <w:rPr>
          <w:rFonts w:ascii="Roboto" w:eastAsia="Times New Roman" w:hAnsi="Roboto" w:cs="Times New Roman"/>
          <w:color w:val="000000"/>
          <w:sz w:val="21"/>
          <w:szCs w:val="21"/>
          <w:lang w:eastAsia="en-GB"/>
        </w:rPr>
        <w:t>Visipaque</w:t>
      </w:r>
      <w:proofErr w:type="spellEnd"/>
      <w:r w:rsidRPr="00C86A70">
        <w:rPr>
          <w:rFonts w:ascii="Roboto" w:eastAsia="Times New Roman" w:hAnsi="Roboto" w:cs="Times New Roman"/>
          <w:color w:val="000000"/>
          <w:sz w:val="21"/>
          <w:szCs w:val="21"/>
          <w:lang w:eastAsia="en-GB"/>
        </w:rPr>
        <w:t xml:space="preserve"> 270 R; GE Healthcare Pharma Co., Ltd., Chicago, Illinois) was used as the iodinated contrast agent. For comparison, VFSS images obtained with </w:t>
      </w:r>
      <w:proofErr w:type="spellStart"/>
      <w:r w:rsidRPr="00C86A70">
        <w:rPr>
          <w:rFonts w:ascii="Roboto" w:eastAsia="Times New Roman" w:hAnsi="Roboto" w:cs="Times New Roman"/>
          <w:color w:val="000000"/>
          <w:sz w:val="21"/>
          <w:szCs w:val="21"/>
          <w:lang w:eastAsia="en-GB"/>
        </w:rPr>
        <w:t>Barytester</w:t>
      </w:r>
      <w:proofErr w:type="spellEnd"/>
      <w:r w:rsidRPr="00C86A70">
        <w:rPr>
          <w:rFonts w:ascii="Roboto" w:eastAsia="Times New Roman" w:hAnsi="Roboto" w:cs="Times New Roman"/>
          <w:color w:val="000000"/>
          <w:sz w:val="21"/>
          <w:szCs w:val="21"/>
          <w:lang w:eastAsia="en-GB"/>
        </w:rPr>
        <w:t xml:space="preserve"> R (FUSHIMI Pharmaceutical Co., Ltd., Kagawa, Japan) in the same patients served as barium </w:t>
      </w:r>
      <w:proofErr w:type="spellStart"/>
      <w:r w:rsidRPr="00C86A70">
        <w:rPr>
          <w:rFonts w:ascii="Roboto" w:eastAsia="Times New Roman" w:hAnsi="Roboto" w:cs="Times New Roman"/>
          <w:color w:val="000000"/>
          <w:sz w:val="21"/>
          <w:szCs w:val="21"/>
          <w:lang w:eastAsia="en-GB"/>
        </w:rPr>
        <w:t>sulfate</w:t>
      </w:r>
      <w:proofErr w:type="spellEnd"/>
      <w:r w:rsidRPr="00C86A70">
        <w:rPr>
          <w:rFonts w:ascii="Roboto" w:eastAsia="Times New Roman" w:hAnsi="Roboto" w:cs="Times New Roman"/>
          <w:color w:val="000000"/>
          <w:sz w:val="21"/>
          <w:szCs w:val="21"/>
          <w:lang w:eastAsia="en-GB"/>
        </w:rPr>
        <w:t xml:space="preserve"> controls. The frequency of adverse events associated with oral </w:t>
      </w:r>
      <w:proofErr w:type="spellStart"/>
      <w:r w:rsidRPr="00C86A70">
        <w:rPr>
          <w:rFonts w:ascii="Roboto" w:eastAsia="Times New Roman" w:hAnsi="Roboto" w:cs="Times New Roman"/>
          <w:color w:val="000000"/>
          <w:sz w:val="21"/>
          <w:szCs w:val="21"/>
          <w:lang w:eastAsia="en-GB"/>
        </w:rPr>
        <w:t>Visipaque</w:t>
      </w:r>
      <w:proofErr w:type="spellEnd"/>
      <w:r w:rsidRPr="00C86A70">
        <w:rPr>
          <w:rFonts w:ascii="Roboto" w:eastAsia="Times New Roman" w:hAnsi="Roboto" w:cs="Times New Roman"/>
          <w:color w:val="000000"/>
          <w:sz w:val="21"/>
          <w:szCs w:val="21"/>
          <w:lang w:eastAsia="en-GB"/>
        </w:rPr>
        <w:t xml:space="preserve"> 270 R administration was assessed. VFSS images obtained with </w:t>
      </w:r>
      <w:proofErr w:type="spellStart"/>
      <w:r w:rsidRPr="00C86A70">
        <w:rPr>
          <w:rFonts w:ascii="Roboto" w:eastAsia="Times New Roman" w:hAnsi="Roboto" w:cs="Times New Roman"/>
          <w:color w:val="000000"/>
          <w:sz w:val="21"/>
          <w:szCs w:val="21"/>
          <w:lang w:eastAsia="en-GB"/>
        </w:rPr>
        <w:t>Barytester</w:t>
      </w:r>
      <w:proofErr w:type="spellEnd"/>
      <w:r w:rsidRPr="00C86A70">
        <w:rPr>
          <w:rFonts w:ascii="Roboto" w:eastAsia="Times New Roman" w:hAnsi="Roboto" w:cs="Times New Roman"/>
          <w:color w:val="000000"/>
          <w:sz w:val="21"/>
          <w:szCs w:val="21"/>
          <w:lang w:eastAsia="en-GB"/>
        </w:rPr>
        <w:t xml:space="preserve"> R and </w:t>
      </w:r>
      <w:proofErr w:type="spellStart"/>
      <w:r w:rsidRPr="00C86A70">
        <w:rPr>
          <w:rFonts w:ascii="Roboto" w:eastAsia="Times New Roman" w:hAnsi="Roboto" w:cs="Times New Roman"/>
          <w:color w:val="000000"/>
          <w:sz w:val="21"/>
          <w:szCs w:val="21"/>
          <w:lang w:eastAsia="en-GB"/>
        </w:rPr>
        <w:t>Visipaque</w:t>
      </w:r>
      <w:proofErr w:type="spellEnd"/>
      <w:r w:rsidRPr="00C86A70">
        <w:rPr>
          <w:rFonts w:ascii="Roboto" w:eastAsia="Times New Roman" w:hAnsi="Roboto" w:cs="Times New Roman"/>
          <w:color w:val="000000"/>
          <w:sz w:val="21"/>
          <w:szCs w:val="21"/>
          <w:lang w:eastAsia="en-GB"/>
        </w:rPr>
        <w:t xml:space="preserve"> 270 R in the same patients were compared to evaluate imaging performance. To determine whether image evaluation outcomes were equivalent between </w:t>
      </w:r>
      <w:proofErr w:type="spellStart"/>
      <w:r w:rsidRPr="00C86A70">
        <w:rPr>
          <w:rFonts w:ascii="Roboto" w:eastAsia="Times New Roman" w:hAnsi="Roboto" w:cs="Times New Roman"/>
          <w:color w:val="000000"/>
          <w:sz w:val="21"/>
          <w:szCs w:val="21"/>
          <w:lang w:eastAsia="en-GB"/>
        </w:rPr>
        <w:t>Visipaque</w:t>
      </w:r>
      <w:proofErr w:type="spellEnd"/>
      <w:r w:rsidRPr="00C86A70">
        <w:rPr>
          <w:rFonts w:ascii="Roboto" w:eastAsia="Times New Roman" w:hAnsi="Roboto" w:cs="Times New Roman"/>
          <w:color w:val="000000"/>
          <w:sz w:val="21"/>
          <w:szCs w:val="21"/>
          <w:lang w:eastAsia="en-GB"/>
        </w:rPr>
        <w:t xml:space="preserve"> 270 R and </w:t>
      </w:r>
      <w:proofErr w:type="spellStart"/>
      <w:r w:rsidRPr="00C86A70">
        <w:rPr>
          <w:rFonts w:ascii="Roboto" w:eastAsia="Times New Roman" w:hAnsi="Roboto" w:cs="Times New Roman"/>
          <w:color w:val="000000"/>
          <w:sz w:val="21"/>
          <w:szCs w:val="21"/>
          <w:lang w:eastAsia="en-GB"/>
        </w:rPr>
        <w:t>Barytester</w:t>
      </w:r>
      <w:proofErr w:type="spellEnd"/>
      <w:r w:rsidRPr="00C86A70">
        <w:rPr>
          <w:rFonts w:ascii="Roboto" w:eastAsia="Times New Roman" w:hAnsi="Roboto" w:cs="Times New Roman"/>
          <w:color w:val="000000"/>
          <w:sz w:val="21"/>
          <w:szCs w:val="21"/>
          <w:lang w:eastAsia="en-GB"/>
        </w:rPr>
        <w:t xml:space="preserve"> R, an equivalence test was performed using the two one-sided tests procedure.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Visipaque</w:t>
      </w:r>
      <w:proofErr w:type="spellEnd"/>
      <w:r w:rsidRPr="00C86A70">
        <w:rPr>
          <w:rFonts w:ascii="Roboto" w:eastAsia="Times New Roman" w:hAnsi="Roboto" w:cs="Times New Roman"/>
          <w:color w:val="000000"/>
          <w:sz w:val="21"/>
          <w:szCs w:val="21"/>
          <w:lang w:eastAsia="en-GB"/>
        </w:rPr>
        <w:t xml:space="preserve"> 270 R was associated with no adverse events, including gastrointestinal or other adverse events. Image evaluations using </w:t>
      </w:r>
      <w:proofErr w:type="spellStart"/>
      <w:r w:rsidRPr="00C86A70">
        <w:rPr>
          <w:rFonts w:ascii="Roboto" w:eastAsia="Times New Roman" w:hAnsi="Roboto" w:cs="Times New Roman"/>
          <w:color w:val="000000"/>
          <w:sz w:val="21"/>
          <w:szCs w:val="21"/>
          <w:lang w:eastAsia="en-GB"/>
        </w:rPr>
        <w:t>Visipaque</w:t>
      </w:r>
      <w:proofErr w:type="spellEnd"/>
      <w:r w:rsidRPr="00C86A70">
        <w:rPr>
          <w:rFonts w:ascii="Roboto" w:eastAsia="Times New Roman" w:hAnsi="Roboto" w:cs="Times New Roman"/>
          <w:color w:val="000000"/>
          <w:sz w:val="21"/>
          <w:szCs w:val="21"/>
          <w:lang w:eastAsia="en-GB"/>
        </w:rPr>
        <w:t xml:space="preserve"> 270 R and </w:t>
      </w:r>
      <w:proofErr w:type="spellStart"/>
      <w:r w:rsidRPr="00C86A70">
        <w:rPr>
          <w:rFonts w:ascii="Roboto" w:eastAsia="Times New Roman" w:hAnsi="Roboto" w:cs="Times New Roman"/>
          <w:color w:val="000000"/>
          <w:sz w:val="21"/>
          <w:szCs w:val="21"/>
          <w:lang w:eastAsia="en-GB"/>
        </w:rPr>
        <w:t>Barytester</w:t>
      </w:r>
      <w:proofErr w:type="spellEnd"/>
      <w:r w:rsidRPr="00C86A70">
        <w:rPr>
          <w:rFonts w:ascii="Roboto" w:eastAsia="Times New Roman" w:hAnsi="Roboto" w:cs="Times New Roman"/>
          <w:color w:val="000000"/>
          <w:sz w:val="21"/>
          <w:szCs w:val="21"/>
          <w:lang w:eastAsia="en-GB"/>
        </w:rPr>
        <w:t xml:space="preserve"> R were statistically equivalent. </w:t>
      </w:r>
      <w:r w:rsidRPr="00C86A70">
        <w:rPr>
          <w:rFonts w:ascii="Roboto" w:eastAsia="Times New Roman" w:hAnsi="Roboto" w:cs="Times New Roman"/>
          <w:b/>
          <w:bCs/>
          <w:color w:val="000000"/>
          <w:sz w:val="21"/>
          <w:szCs w:val="21"/>
          <w:lang w:eastAsia="en-GB"/>
        </w:rPr>
        <w:t>CONCLUSIONS</w:t>
      </w:r>
      <w:r w:rsidRPr="00C86A70">
        <w:rPr>
          <w:rFonts w:ascii="Roboto" w:eastAsia="Times New Roman" w:hAnsi="Roboto" w:cs="Times New Roman"/>
          <w:color w:val="000000"/>
          <w:sz w:val="21"/>
          <w:szCs w:val="21"/>
          <w:lang w:eastAsia="en-GB"/>
        </w:rPr>
        <w:t xml:space="preserve">: VFSS was performed using the iodinated contrast agent </w:t>
      </w:r>
      <w:proofErr w:type="spellStart"/>
      <w:r w:rsidRPr="00C86A70">
        <w:rPr>
          <w:rFonts w:ascii="Roboto" w:eastAsia="Times New Roman" w:hAnsi="Roboto" w:cs="Times New Roman"/>
          <w:color w:val="000000"/>
          <w:sz w:val="21"/>
          <w:szCs w:val="21"/>
          <w:lang w:eastAsia="en-GB"/>
        </w:rPr>
        <w:t>Visipaque</w:t>
      </w:r>
      <w:proofErr w:type="spellEnd"/>
      <w:r w:rsidRPr="00C86A70">
        <w:rPr>
          <w:rFonts w:ascii="Roboto" w:eastAsia="Times New Roman" w:hAnsi="Roboto" w:cs="Times New Roman"/>
          <w:color w:val="000000"/>
          <w:sz w:val="21"/>
          <w:szCs w:val="21"/>
          <w:lang w:eastAsia="en-GB"/>
        </w:rPr>
        <w:t xml:space="preserve"> 270 R. No adverse events related to oral </w:t>
      </w:r>
      <w:proofErr w:type="spellStart"/>
      <w:r w:rsidRPr="00C86A70">
        <w:rPr>
          <w:rFonts w:ascii="Roboto" w:eastAsia="Times New Roman" w:hAnsi="Roboto" w:cs="Times New Roman"/>
          <w:color w:val="000000"/>
          <w:sz w:val="21"/>
          <w:szCs w:val="21"/>
          <w:lang w:eastAsia="en-GB"/>
        </w:rPr>
        <w:t>Visipaque</w:t>
      </w:r>
      <w:proofErr w:type="spellEnd"/>
      <w:r w:rsidRPr="00C86A70">
        <w:rPr>
          <w:rFonts w:ascii="Roboto" w:eastAsia="Times New Roman" w:hAnsi="Roboto" w:cs="Times New Roman"/>
          <w:color w:val="000000"/>
          <w:sz w:val="21"/>
          <w:szCs w:val="21"/>
          <w:lang w:eastAsia="en-GB"/>
        </w:rPr>
        <w:t xml:space="preserve"> 270 R administration were observed, and contrast enhancement on VFSS images was comparable to that achieved with </w:t>
      </w:r>
      <w:proofErr w:type="spellStart"/>
      <w:r w:rsidRPr="00C86A70">
        <w:rPr>
          <w:rFonts w:ascii="Roboto" w:eastAsia="Times New Roman" w:hAnsi="Roboto" w:cs="Times New Roman"/>
          <w:color w:val="000000"/>
          <w:sz w:val="21"/>
          <w:szCs w:val="21"/>
          <w:lang w:eastAsia="en-GB"/>
        </w:rPr>
        <w:t>Barytester</w:t>
      </w:r>
      <w:proofErr w:type="spellEnd"/>
      <w:r w:rsidRPr="00C86A70">
        <w:rPr>
          <w:rFonts w:ascii="Roboto" w:eastAsia="Times New Roman" w:hAnsi="Roboto" w:cs="Times New Roman"/>
          <w:color w:val="000000"/>
          <w:sz w:val="21"/>
          <w:szCs w:val="21"/>
          <w:lang w:eastAsia="en-GB"/>
        </w:rPr>
        <w:t xml:space="preserve"> R. </w:t>
      </w:r>
      <w:r w:rsidRPr="00C86A70">
        <w:rPr>
          <w:rFonts w:ascii="Roboto" w:eastAsia="Times New Roman" w:hAnsi="Roboto" w:cs="Times New Roman"/>
          <w:b/>
          <w:bCs/>
          <w:color w:val="000000"/>
          <w:sz w:val="21"/>
          <w:szCs w:val="21"/>
          <w:lang w:eastAsia="en-GB"/>
        </w:rPr>
        <w:t>TRIAL REGISTRATION</w:t>
      </w:r>
      <w:r w:rsidRPr="00C86A70">
        <w:rPr>
          <w:rFonts w:ascii="Roboto" w:eastAsia="Times New Roman" w:hAnsi="Roboto" w:cs="Times New Roman"/>
          <w:color w:val="000000"/>
          <w:sz w:val="21"/>
          <w:szCs w:val="21"/>
          <w:lang w:eastAsia="en-GB"/>
        </w:rPr>
        <w:t xml:space="preserve">: Japan Registry of Clinical Trials, jRCTs061240040; registered 26 </w:t>
      </w:r>
      <w:proofErr w:type="gramStart"/>
      <w:r w:rsidRPr="00C86A70">
        <w:rPr>
          <w:rFonts w:ascii="Roboto" w:eastAsia="Times New Roman" w:hAnsi="Roboto" w:cs="Times New Roman"/>
          <w:color w:val="000000"/>
          <w:sz w:val="21"/>
          <w:szCs w:val="21"/>
          <w:lang w:eastAsia="en-GB"/>
        </w:rPr>
        <w:t>July,</w:t>
      </w:r>
      <w:proofErr w:type="gramEnd"/>
      <w:r w:rsidRPr="00C86A70">
        <w:rPr>
          <w:rFonts w:ascii="Roboto" w:eastAsia="Times New Roman" w:hAnsi="Roboto" w:cs="Times New Roman"/>
          <w:color w:val="000000"/>
          <w:sz w:val="21"/>
          <w:szCs w:val="21"/>
          <w:lang w:eastAsia="en-GB"/>
        </w:rPr>
        <w:t xml:space="preserve"> 2024.</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24" w:tgtFrame="_blank" w:history="1">
        <w:r w:rsidRPr="00C86A70">
          <w:rPr>
            <w:rFonts w:ascii="Roboto" w:eastAsia="Times New Roman" w:hAnsi="Roboto" w:cs="Times New Roman"/>
            <w:color w:val="0066CC"/>
            <w:sz w:val="21"/>
            <w:szCs w:val="21"/>
            <w:lang w:eastAsia="en-GB"/>
          </w:rPr>
          <w:t>https://libkey.io/10.1007/s11282-026-00959-x</w:t>
        </w:r>
      </w:hyperlink>
    </w:p>
    <w:p w14:paraId="74FCEB17" w14:textId="41282C53" w:rsidR="003E7AE2" w:rsidRDefault="00C86A70" w:rsidP="00C86A70">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i/>
          <w:iCs/>
          <w:color w:val="000000"/>
          <w:sz w:val="21"/>
          <w:szCs w:val="21"/>
          <w:shd w:val="clear" w:color="auto" w:fill="FFFFFF"/>
          <w:lang w:eastAsia="en-GB"/>
        </w:rPr>
        <w:t>You will need your </w:t>
      </w:r>
      <w:hyperlink r:id="rId25" w:history="1">
        <w:r w:rsidRPr="00C86A70">
          <w:rPr>
            <w:rFonts w:ascii="Roboto" w:eastAsia="Times New Roman" w:hAnsi="Roboto" w:cs="Times New Roman"/>
            <w:i/>
            <w:iCs/>
            <w:color w:val="0066CC"/>
            <w:sz w:val="21"/>
            <w:szCs w:val="21"/>
            <w:lang w:eastAsia="en-GB"/>
          </w:rPr>
          <w:t xml:space="preserve">NHS </w:t>
        </w:r>
        <w:proofErr w:type="spellStart"/>
        <w:r w:rsidRPr="00C86A70">
          <w:rPr>
            <w:rFonts w:ascii="Roboto" w:eastAsia="Times New Roman" w:hAnsi="Roboto" w:cs="Times New Roman"/>
            <w:i/>
            <w:iCs/>
            <w:color w:val="0066CC"/>
            <w:sz w:val="21"/>
            <w:szCs w:val="21"/>
            <w:lang w:eastAsia="en-GB"/>
          </w:rPr>
          <w:t>OpenAthens</w:t>
        </w:r>
        <w:proofErr w:type="spellEnd"/>
        <w:r w:rsidRPr="00C86A70">
          <w:rPr>
            <w:rFonts w:ascii="Roboto" w:eastAsia="Times New Roman" w:hAnsi="Roboto" w:cs="Times New Roman"/>
            <w:i/>
            <w:iCs/>
            <w:color w:val="0066CC"/>
            <w:sz w:val="21"/>
            <w:szCs w:val="21"/>
            <w:lang w:eastAsia="en-GB"/>
          </w:rPr>
          <w:t xml:space="preserve"> account</w:t>
        </w:r>
      </w:hyperlink>
      <w:r w:rsidRPr="00C86A70">
        <w:rPr>
          <w:rFonts w:ascii="Roboto" w:eastAsia="Times New Roman" w:hAnsi="Roboto" w:cs="Times New Roman"/>
          <w:i/>
          <w:iCs/>
          <w:color w:val="000000"/>
          <w:sz w:val="21"/>
          <w:szCs w:val="21"/>
          <w:shd w:val="clear" w:color="auto" w:fill="FFFFFF"/>
          <w:lang w:eastAsia="en-GB"/>
        </w:rPr>
        <w:t> to access the full text of licenced content.</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i/>
          <w:iCs/>
          <w:color w:val="000000"/>
          <w:sz w:val="21"/>
          <w:szCs w:val="21"/>
          <w:shd w:val="clear" w:color="auto" w:fill="FFFFFF"/>
          <w:lang w:eastAsia="en-GB"/>
        </w:rPr>
        <w:t>This service is provided to the NHS in England by NHSE Workforce, Training &amp; Education.</w:t>
      </w:r>
    </w:p>
    <w:p w14:paraId="25D3CC3D" w14:textId="77777777" w:rsidR="003E7AE2" w:rsidRDefault="003E7AE2" w:rsidP="003E7AE2">
      <w:pPr>
        <w:pStyle w:val="Heading1"/>
      </w:pPr>
      <w:bookmarkStart w:id="3" w:name="_Toc239259697"/>
      <w:r>
        <w:t>FEES</w:t>
      </w:r>
      <w:bookmarkEnd w:id="3"/>
    </w:p>
    <w:p w14:paraId="112C29DD" w14:textId="7630D1D2"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1. </w:t>
      </w:r>
      <w:proofErr w:type="spellStart"/>
      <w:r w:rsidRPr="00C86A70">
        <w:rPr>
          <w:rFonts w:ascii="Roboto" w:eastAsia="Times New Roman" w:hAnsi="Roboto" w:cs="Times New Roman"/>
          <w:b/>
          <w:bCs/>
          <w:color w:val="000000"/>
          <w:sz w:val="21"/>
          <w:szCs w:val="21"/>
          <w:lang w:eastAsia="en-GB"/>
        </w:rPr>
        <w:t>Fiberoptic</w:t>
      </w:r>
      <w:proofErr w:type="spellEnd"/>
      <w:r w:rsidRPr="00C86A70">
        <w:rPr>
          <w:rFonts w:ascii="Roboto" w:eastAsia="Times New Roman" w:hAnsi="Roboto" w:cs="Times New Roman"/>
          <w:b/>
          <w:bCs/>
          <w:color w:val="000000"/>
          <w:sz w:val="21"/>
          <w:szCs w:val="21"/>
          <w:lang w:eastAsia="en-GB"/>
        </w:rPr>
        <w:t xml:space="preserve"> endoscopic evaluation of swallowing in neurogenic oropharyngeal dysphagia in adults: Part 2 of a scoping review</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xml:space="preserve"> Alves, Thais </w:t>
      </w:r>
      <w:proofErr w:type="spellStart"/>
      <w:r w:rsidRPr="00C86A70">
        <w:rPr>
          <w:rFonts w:ascii="Roboto" w:eastAsia="Times New Roman" w:hAnsi="Roboto" w:cs="Times New Roman"/>
          <w:color w:val="000000"/>
          <w:sz w:val="21"/>
          <w:szCs w:val="21"/>
          <w:lang w:eastAsia="en-GB"/>
        </w:rPr>
        <w:t>Coelho;Furkim</w:t>
      </w:r>
      <w:proofErr w:type="spellEnd"/>
      <w:r w:rsidRPr="00C86A70">
        <w:rPr>
          <w:rFonts w:ascii="Roboto" w:eastAsia="Times New Roman" w:hAnsi="Roboto" w:cs="Times New Roman"/>
          <w:color w:val="000000"/>
          <w:sz w:val="21"/>
          <w:szCs w:val="21"/>
          <w:lang w:eastAsia="en-GB"/>
        </w:rPr>
        <w:t xml:space="preserve">, Ana </w:t>
      </w:r>
      <w:proofErr w:type="spellStart"/>
      <w:r w:rsidRPr="00C86A70">
        <w:rPr>
          <w:rFonts w:ascii="Roboto" w:eastAsia="Times New Roman" w:hAnsi="Roboto" w:cs="Times New Roman"/>
          <w:color w:val="000000"/>
          <w:sz w:val="21"/>
          <w:szCs w:val="21"/>
          <w:lang w:eastAsia="en-GB"/>
        </w:rPr>
        <w:t>Maria;Schindler</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Antonio;Pizzorni</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Nicole;Onofri</w:t>
      </w:r>
      <w:proofErr w:type="spellEnd"/>
      <w:r w:rsidRPr="00C86A70">
        <w:rPr>
          <w:rFonts w:ascii="Roboto" w:eastAsia="Times New Roman" w:hAnsi="Roboto" w:cs="Times New Roman"/>
          <w:color w:val="000000"/>
          <w:sz w:val="21"/>
          <w:szCs w:val="21"/>
          <w:lang w:eastAsia="en-GB"/>
        </w:rPr>
        <w:t>, Suely Mayumi Motonaga and da Silva, Roberta Goncalves</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European Archives of Oto-Rhino-Laryngology</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PURPOSE</w:t>
      </w:r>
      <w:r w:rsidRPr="00C86A70">
        <w:rPr>
          <w:rFonts w:ascii="Roboto" w:eastAsia="Times New Roman" w:hAnsi="Roboto" w:cs="Times New Roman"/>
          <w:color w:val="000000"/>
          <w:sz w:val="21"/>
          <w:szCs w:val="21"/>
          <w:lang w:eastAsia="en-GB"/>
        </w:rPr>
        <w:t xml:space="preserve">: The main objective of this scoping review was to describe the qualitative and quantitative parameters of </w:t>
      </w:r>
      <w:proofErr w:type="spellStart"/>
      <w:r w:rsidRPr="00C86A70">
        <w:rPr>
          <w:rFonts w:ascii="Roboto" w:eastAsia="Times New Roman" w:hAnsi="Roboto" w:cs="Times New Roman"/>
          <w:color w:val="000000"/>
          <w:sz w:val="21"/>
          <w:szCs w:val="21"/>
          <w:lang w:eastAsia="en-GB"/>
        </w:rPr>
        <w:t>fiberoptic</w:t>
      </w:r>
      <w:proofErr w:type="spellEnd"/>
      <w:r w:rsidRPr="00C86A70">
        <w:rPr>
          <w:rFonts w:ascii="Roboto" w:eastAsia="Times New Roman" w:hAnsi="Roboto" w:cs="Times New Roman"/>
          <w:color w:val="000000"/>
          <w:sz w:val="21"/>
          <w:szCs w:val="21"/>
          <w:lang w:eastAsia="en-GB"/>
        </w:rPr>
        <w:t xml:space="preserve"> endoscopic evaluation of swallowing (FEES) protocols, including their operational definitions and scales used in adults with neurogenic oropharyngeal dysphagia. </w:t>
      </w:r>
      <w:r w:rsidRPr="00C86A70">
        <w:rPr>
          <w:rFonts w:ascii="Roboto" w:eastAsia="Times New Roman" w:hAnsi="Roboto" w:cs="Times New Roman"/>
          <w:b/>
          <w:bCs/>
          <w:color w:val="000000"/>
          <w:sz w:val="21"/>
          <w:szCs w:val="21"/>
          <w:lang w:eastAsia="en-GB"/>
        </w:rPr>
        <w:t>METHODS</w:t>
      </w:r>
      <w:r w:rsidRPr="00C86A70">
        <w:rPr>
          <w:rFonts w:ascii="Roboto" w:eastAsia="Times New Roman" w:hAnsi="Roboto" w:cs="Times New Roman"/>
          <w:color w:val="000000"/>
          <w:sz w:val="21"/>
          <w:szCs w:val="21"/>
          <w:lang w:eastAsia="en-GB"/>
        </w:rPr>
        <w:t>: Six databases (Wiley Cochrane Library, MEDLINE, EMBASE, CINAHL, PsycINFO, and LILACS) were extensively searched, following the Joanna Briggs Institute and PRISMA-</w:t>
      </w:r>
      <w:proofErr w:type="spellStart"/>
      <w:r w:rsidRPr="00C86A70">
        <w:rPr>
          <w:rFonts w:ascii="Roboto" w:eastAsia="Times New Roman" w:hAnsi="Roboto" w:cs="Times New Roman"/>
          <w:color w:val="000000"/>
          <w:sz w:val="21"/>
          <w:szCs w:val="21"/>
          <w:lang w:eastAsia="en-GB"/>
        </w:rPr>
        <w:t>ScR</w:t>
      </w:r>
      <w:proofErr w:type="spellEnd"/>
      <w:r w:rsidRPr="00C86A70">
        <w:rPr>
          <w:rFonts w:ascii="Roboto" w:eastAsia="Times New Roman" w:hAnsi="Roboto" w:cs="Times New Roman"/>
          <w:color w:val="000000"/>
          <w:sz w:val="21"/>
          <w:szCs w:val="21"/>
          <w:lang w:eastAsia="en-GB"/>
        </w:rPr>
        <w:t xml:space="preserve"> guidelines, without restriction on study design, publication date, or language. Two blind independent raters selected, reviewed, and extracted all content according to preestablished exclusion criteria. A third rater resolved any divergences between them.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Altogether, 6,033 abstracts were screened, leading to the inclusion of 115 publications. Substantial heterogeneity was observed in the terminology and operational definitions used to describe the qualitative parameters. Additionally, 20 different temporal quantitative parameters were identified, although only half of them were accompanied by operational definitions. Diverse classification methods were also reported, with author-defined measures being more common than validated scales. </w:t>
      </w:r>
      <w:r w:rsidRPr="00C86A70">
        <w:rPr>
          <w:rFonts w:ascii="Roboto" w:eastAsia="Times New Roman" w:hAnsi="Roboto" w:cs="Times New Roman"/>
          <w:b/>
          <w:bCs/>
          <w:color w:val="000000"/>
          <w:sz w:val="21"/>
          <w:szCs w:val="21"/>
          <w:lang w:eastAsia="en-GB"/>
        </w:rPr>
        <w:t>CONCLUSION</w:t>
      </w:r>
      <w:r w:rsidRPr="00C86A70">
        <w:rPr>
          <w:rFonts w:ascii="Roboto" w:eastAsia="Times New Roman" w:hAnsi="Roboto" w:cs="Times New Roman"/>
          <w:color w:val="000000"/>
          <w:sz w:val="21"/>
          <w:szCs w:val="21"/>
          <w:lang w:eastAsia="en-GB"/>
        </w:rPr>
        <w:t xml:space="preserve">: The parameters derived from FEES in adults with oropharyngeal dysphagia are not uniformly defined or </w:t>
      </w:r>
      <w:proofErr w:type="spellStart"/>
      <w:r w:rsidRPr="00C86A70">
        <w:rPr>
          <w:rFonts w:ascii="Roboto" w:eastAsia="Times New Roman" w:hAnsi="Roboto" w:cs="Times New Roman"/>
          <w:color w:val="000000"/>
          <w:sz w:val="21"/>
          <w:szCs w:val="21"/>
          <w:lang w:eastAsia="en-GB"/>
        </w:rPr>
        <w:t>analyzed</w:t>
      </w:r>
      <w:proofErr w:type="spellEnd"/>
      <w:r w:rsidRPr="00C86A70">
        <w:rPr>
          <w:rFonts w:ascii="Roboto" w:eastAsia="Times New Roman" w:hAnsi="Roboto" w:cs="Times New Roman"/>
          <w:color w:val="000000"/>
          <w:sz w:val="21"/>
          <w:szCs w:val="21"/>
          <w:lang w:eastAsia="en-GB"/>
        </w:rPr>
        <w:t>.</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lastRenderedPageBreak/>
        <w:br/>
      </w:r>
      <w:r w:rsidRPr="00C86A70">
        <w:rPr>
          <w:rFonts w:ascii="Roboto" w:eastAsia="Times New Roman" w:hAnsi="Roboto" w:cs="Times New Roman"/>
          <w:b/>
          <w:bCs/>
          <w:color w:val="000000"/>
          <w:sz w:val="21"/>
          <w:szCs w:val="21"/>
          <w:lang w:eastAsia="en-GB"/>
        </w:rPr>
        <w:t>Access or request full text: </w:t>
      </w:r>
      <w:hyperlink r:id="rId26" w:tgtFrame="_blank" w:history="1">
        <w:r w:rsidRPr="00C86A70">
          <w:rPr>
            <w:rFonts w:ascii="Roboto" w:eastAsia="Times New Roman" w:hAnsi="Roboto" w:cs="Times New Roman"/>
            <w:color w:val="0066CC"/>
            <w:sz w:val="21"/>
            <w:szCs w:val="21"/>
            <w:lang w:eastAsia="en-GB"/>
          </w:rPr>
          <w:t>https://libkey.io/10.1007/s00405-026-10484-6</w:t>
        </w:r>
      </w:hyperlink>
    </w:p>
    <w:p w14:paraId="664ECA8A" w14:textId="7277FB97"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2. </w:t>
      </w:r>
      <w:r w:rsidRPr="00C86A70">
        <w:rPr>
          <w:rFonts w:ascii="Roboto" w:eastAsia="Times New Roman" w:hAnsi="Roboto" w:cs="Times New Roman"/>
          <w:b/>
          <w:bCs/>
          <w:color w:val="000000"/>
          <w:sz w:val="21"/>
          <w:szCs w:val="21"/>
          <w:lang w:eastAsia="en-GB"/>
        </w:rPr>
        <w:t>Prospective Study on the Clinical and Economic Impact of On-Site Flexible Endoscopic Evaluation of Swallowing in Residential Aged Care.</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xml:space="preserve"> Fong, </w:t>
      </w:r>
      <w:proofErr w:type="spellStart"/>
      <w:r w:rsidRPr="00C86A70">
        <w:rPr>
          <w:rFonts w:ascii="Roboto" w:eastAsia="Times New Roman" w:hAnsi="Roboto" w:cs="Times New Roman"/>
          <w:color w:val="000000"/>
          <w:sz w:val="21"/>
          <w:szCs w:val="21"/>
          <w:lang w:eastAsia="en-GB"/>
        </w:rPr>
        <w:t>Raymond;Ng</w:t>
      </w:r>
      <w:proofErr w:type="spellEnd"/>
      <w:r w:rsidRPr="00C86A70">
        <w:rPr>
          <w:rFonts w:ascii="Roboto" w:eastAsia="Times New Roman" w:hAnsi="Roboto" w:cs="Times New Roman"/>
          <w:color w:val="000000"/>
          <w:sz w:val="21"/>
          <w:szCs w:val="21"/>
          <w:lang w:eastAsia="en-GB"/>
        </w:rPr>
        <w:t xml:space="preserve">, Ruby Wing </w:t>
      </w:r>
      <w:proofErr w:type="spellStart"/>
      <w:r w:rsidRPr="00C86A70">
        <w:rPr>
          <w:rFonts w:ascii="Roboto" w:eastAsia="Times New Roman" w:hAnsi="Roboto" w:cs="Times New Roman"/>
          <w:color w:val="000000"/>
          <w:sz w:val="21"/>
          <w:szCs w:val="21"/>
          <w:lang w:eastAsia="en-GB"/>
        </w:rPr>
        <w:t>Yi;Lai</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Ronald;Kwan</w:t>
      </w:r>
      <w:proofErr w:type="spellEnd"/>
      <w:r w:rsidRPr="00C86A70">
        <w:rPr>
          <w:rFonts w:ascii="Roboto" w:eastAsia="Times New Roman" w:hAnsi="Roboto" w:cs="Times New Roman"/>
          <w:color w:val="000000"/>
          <w:sz w:val="21"/>
          <w:szCs w:val="21"/>
          <w:lang w:eastAsia="en-GB"/>
        </w:rPr>
        <w:t xml:space="preserve">, Connie Ching </w:t>
      </w:r>
      <w:proofErr w:type="spellStart"/>
      <w:r w:rsidRPr="00C86A70">
        <w:rPr>
          <w:rFonts w:ascii="Roboto" w:eastAsia="Times New Roman" w:hAnsi="Roboto" w:cs="Times New Roman"/>
          <w:color w:val="000000"/>
          <w:sz w:val="21"/>
          <w:szCs w:val="21"/>
          <w:lang w:eastAsia="en-GB"/>
        </w:rPr>
        <w:t>Yin;Ng</w:t>
      </w:r>
      <w:proofErr w:type="spellEnd"/>
      <w:r w:rsidRPr="00C86A70">
        <w:rPr>
          <w:rFonts w:ascii="Roboto" w:eastAsia="Times New Roman" w:hAnsi="Roboto" w:cs="Times New Roman"/>
          <w:color w:val="000000"/>
          <w:sz w:val="21"/>
          <w:szCs w:val="21"/>
          <w:lang w:eastAsia="en-GB"/>
        </w:rPr>
        <w:t xml:space="preserve">, Tsz </w:t>
      </w:r>
      <w:proofErr w:type="spellStart"/>
      <w:r w:rsidRPr="00C86A70">
        <w:rPr>
          <w:rFonts w:ascii="Roboto" w:eastAsia="Times New Roman" w:hAnsi="Roboto" w:cs="Times New Roman"/>
          <w:color w:val="000000"/>
          <w:sz w:val="21"/>
          <w:szCs w:val="21"/>
          <w:lang w:eastAsia="en-GB"/>
        </w:rPr>
        <w:t>Kwan;Chan</w:t>
      </w:r>
      <w:proofErr w:type="spellEnd"/>
      <w:r w:rsidRPr="00C86A70">
        <w:rPr>
          <w:rFonts w:ascii="Roboto" w:eastAsia="Times New Roman" w:hAnsi="Roboto" w:cs="Times New Roman"/>
          <w:color w:val="000000"/>
          <w:sz w:val="21"/>
          <w:szCs w:val="21"/>
          <w:lang w:eastAsia="en-GB"/>
        </w:rPr>
        <w:t>, Jason Ying Kuen and Ku, Peter Ka Ming</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Aug 25 ,2026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Journal of the American Medical Directors Association 27(10), pp. 106431</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OBJECTIVES</w:t>
      </w:r>
      <w:r w:rsidRPr="00C86A70">
        <w:rPr>
          <w:rFonts w:ascii="Roboto" w:eastAsia="Times New Roman" w:hAnsi="Roboto" w:cs="Times New Roman"/>
          <w:color w:val="000000"/>
          <w:sz w:val="21"/>
          <w:szCs w:val="21"/>
          <w:lang w:eastAsia="en-GB"/>
        </w:rPr>
        <w:t>: Oropharyngeal dysphagia affects approximately 50% of nursing home residents, yet access to instrumental assessment is often restricted by the logistical burdens of hospital transport. This diagnostic gap frequently results in suboptimal management and unnecessary dietary restrictions. This study aimed to evaluate the feasibility, clinical applicability, and cost-effectiveness of implementing an on-site flexible endoscopic evaluation of swallowing (FEES) service in residential aged care facilities. </w:t>
      </w:r>
      <w:r w:rsidRPr="00C86A70">
        <w:rPr>
          <w:rFonts w:ascii="Roboto" w:eastAsia="Times New Roman" w:hAnsi="Roboto" w:cs="Times New Roman"/>
          <w:b/>
          <w:bCs/>
          <w:color w:val="000000"/>
          <w:sz w:val="21"/>
          <w:szCs w:val="21"/>
          <w:lang w:eastAsia="en-GB"/>
        </w:rPr>
        <w:t>DESIGN</w:t>
      </w:r>
      <w:r w:rsidRPr="00C86A70">
        <w:rPr>
          <w:rFonts w:ascii="Roboto" w:eastAsia="Times New Roman" w:hAnsi="Roboto" w:cs="Times New Roman"/>
          <w:color w:val="000000"/>
          <w:sz w:val="21"/>
          <w:szCs w:val="21"/>
          <w:lang w:eastAsia="en-GB"/>
        </w:rPr>
        <w:t>: Prospective cohort study. </w:t>
      </w:r>
      <w:r w:rsidRPr="00C86A70">
        <w:rPr>
          <w:rFonts w:ascii="Roboto" w:eastAsia="Times New Roman" w:hAnsi="Roboto" w:cs="Times New Roman"/>
          <w:b/>
          <w:bCs/>
          <w:color w:val="000000"/>
          <w:sz w:val="21"/>
          <w:szCs w:val="21"/>
          <w:lang w:eastAsia="en-GB"/>
        </w:rPr>
        <w:t>SETTING AND PARTICIPANTS</w:t>
      </w:r>
      <w:r w:rsidRPr="00C86A70">
        <w:rPr>
          <w:rFonts w:ascii="Roboto" w:eastAsia="Times New Roman" w:hAnsi="Roboto" w:cs="Times New Roman"/>
          <w:color w:val="000000"/>
          <w:sz w:val="21"/>
          <w:szCs w:val="21"/>
          <w:lang w:eastAsia="en-GB"/>
        </w:rPr>
        <w:t>: Fifty residents (mean age, 82.3 years) with suspected dysphagia residing across 15 nursing homes operated by a nongovernmental organization in Hong Kong. </w:t>
      </w:r>
      <w:r w:rsidRPr="00C86A70">
        <w:rPr>
          <w:rFonts w:ascii="Roboto" w:eastAsia="Times New Roman" w:hAnsi="Roboto" w:cs="Times New Roman"/>
          <w:b/>
          <w:bCs/>
          <w:color w:val="000000"/>
          <w:sz w:val="21"/>
          <w:szCs w:val="21"/>
          <w:lang w:eastAsia="en-GB"/>
        </w:rPr>
        <w:t>METHODS</w:t>
      </w:r>
      <w:r w:rsidRPr="00C86A70">
        <w:rPr>
          <w:rFonts w:ascii="Roboto" w:eastAsia="Times New Roman" w:hAnsi="Roboto" w:cs="Times New Roman"/>
          <w:color w:val="000000"/>
          <w:sz w:val="21"/>
          <w:szCs w:val="21"/>
          <w:lang w:eastAsia="en-GB"/>
        </w:rPr>
        <w:t xml:space="preserve">: Residents underwent on-site FEES. Feasibility was defined by completion rates (&gt;75%) and monitoring for adverse events. A cost-minimization analysis compared the on-site model against the standard hospital referral pathway. Clinical applicability was assessed by preassessment and </w:t>
      </w:r>
      <w:proofErr w:type="spellStart"/>
      <w:r w:rsidRPr="00C86A70">
        <w:rPr>
          <w:rFonts w:ascii="Roboto" w:eastAsia="Times New Roman" w:hAnsi="Roboto" w:cs="Times New Roman"/>
          <w:color w:val="000000"/>
          <w:sz w:val="21"/>
          <w:szCs w:val="21"/>
          <w:lang w:eastAsia="en-GB"/>
        </w:rPr>
        <w:t>postassessment</w:t>
      </w:r>
      <w:proofErr w:type="spellEnd"/>
      <w:r w:rsidRPr="00C86A70">
        <w:rPr>
          <w:rFonts w:ascii="Roboto" w:eastAsia="Times New Roman" w:hAnsi="Roboto" w:cs="Times New Roman"/>
          <w:color w:val="000000"/>
          <w:sz w:val="21"/>
          <w:szCs w:val="21"/>
          <w:lang w:eastAsia="en-GB"/>
        </w:rPr>
        <w:t xml:space="preserve"> management changes. Stakeholder perceptions were evaluated via structured questionnaires.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The procedure proved highly feasible with a 96.0% completion rate (48/50) and no major adverse events. Clinical management changed for 75.0% (36/48) of participants, with 62.5% (30/48) of residents safely upgraded from overly restricted diets. The cost-minimization analysis demonstrated a 36.7% reduction per case (Hong Kong $1816 vs Hong Kong $2868), primarily because of savings in transport and escort manpower. While satisfaction was high, staff identified a lack of specialized training as the primary barrier to implementation. </w:t>
      </w:r>
      <w:r w:rsidRPr="00C86A70">
        <w:rPr>
          <w:rFonts w:ascii="Roboto" w:eastAsia="Times New Roman" w:hAnsi="Roboto" w:cs="Times New Roman"/>
          <w:b/>
          <w:bCs/>
          <w:color w:val="000000"/>
          <w:sz w:val="21"/>
          <w:szCs w:val="21"/>
          <w:lang w:eastAsia="en-GB"/>
        </w:rPr>
        <w:t>CONCLUSIONS AND IMPLICATIONS</w:t>
      </w:r>
      <w:r w:rsidRPr="00C86A70">
        <w:rPr>
          <w:rFonts w:ascii="Roboto" w:eastAsia="Times New Roman" w:hAnsi="Roboto" w:cs="Times New Roman"/>
          <w:color w:val="000000"/>
          <w:sz w:val="21"/>
          <w:szCs w:val="21"/>
          <w:lang w:eastAsia="en-GB"/>
        </w:rPr>
        <w:t>: Findings from this preliminary cohort study suggest that an on-site FEES service represents a highly feasible and promising approach that may offer safe, logistically efficient dysphagia management in residential care. By shifting diagnostics to the bedside, facilities have the potential to safely reverse unnecessary dietary restrictions and reduce costly logistical overheads. However, given the limited sample scope, larger controlled trials are required to confirm long-term systemic safety and definitive cost-effectiveness before widespread adoption.</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27" w:tgtFrame="_blank" w:history="1">
        <w:r w:rsidRPr="00C86A70">
          <w:rPr>
            <w:rFonts w:ascii="Roboto" w:eastAsia="Times New Roman" w:hAnsi="Roboto" w:cs="Times New Roman"/>
            <w:color w:val="0066CC"/>
            <w:sz w:val="21"/>
            <w:szCs w:val="21"/>
            <w:lang w:eastAsia="en-GB"/>
          </w:rPr>
          <w:t>https://libkey.io/10.1016/j.jamda.2026.106431</w:t>
        </w:r>
      </w:hyperlink>
    </w:p>
    <w:p w14:paraId="77BD065E" w14:textId="3B48BAF9"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3. </w:t>
      </w:r>
      <w:r w:rsidRPr="00C86A70">
        <w:rPr>
          <w:rFonts w:ascii="Roboto" w:eastAsia="Times New Roman" w:hAnsi="Roboto" w:cs="Times New Roman"/>
          <w:b/>
          <w:bCs/>
          <w:color w:val="000000"/>
          <w:sz w:val="21"/>
          <w:szCs w:val="21"/>
          <w:lang w:eastAsia="en-GB"/>
        </w:rPr>
        <w:t>Characterizing the Impact of Light Settings on Whiteout Frames During FEES.</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Pisegna, Jessica M. and Karthikeyan, Gayathri</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Aug 25 ,2026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 xml:space="preserve">Folia </w:t>
      </w:r>
      <w:proofErr w:type="spellStart"/>
      <w:r w:rsidRPr="00C86A70">
        <w:rPr>
          <w:rFonts w:ascii="Roboto" w:eastAsia="Times New Roman" w:hAnsi="Roboto" w:cs="Times New Roman"/>
          <w:color w:val="000000"/>
          <w:sz w:val="21"/>
          <w:szCs w:val="21"/>
          <w:lang w:eastAsia="en-GB"/>
        </w:rPr>
        <w:t>Phoniatrica</w:t>
      </w:r>
      <w:proofErr w:type="spellEnd"/>
      <w:r w:rsidRPr="00C86A70">
        <w:rPr>
          <w:rFonts w:ascii="Roboto" w:eastAsia="Times New Roman" w:hAnsi="Roboto" w:cs="Times New Roman"/>
          <w:color w:val="000000"/>
          <w:sz w:val="21"/>
          <w:szCs w:val="21"/>
          <w:lang w:eastAsia="en-GB"/>
        </w:rPr>
        <w:t xml:space="preserve"> Et </w:t>
      </w:r>
      <w:proofErr w:type="spellStart"/>
      <w:r w:rsidRPr="00C86A70">
        <w:rPr>
          <w:rFonts w:ascii="Roboto" w:eastAsia="Times New Roman" w:hAnsi="Roboto" w:cs="Times New Roman"/>
          <w:color w:val="000000"/>
          <w:sz w:val="21"/>
          <w:szCs w:val="21"/>
          <w:lang w:eastAsia="en-GB"/>
        </w:rPr>
        <w:t>Logopedica</w:t>
      </w:r>
      <w:proofErr w:type="spellEnd"/>
      <w:r w:rsidRPr="00C86A70">
        <w:rPr>
          <w:rFonts w:ascii="Roboto" w:eastAsia="Times New Roman" w:hAnsi="Roboto" w:cs="Times New Roman"/>
          <w:color w:val="000000"/>
          <w:sz w:val="21"/>
          <w:szCs w:val="21"/>
          <w:lang w:eastAsia="en-GB"/>
        </w:rPr>
        <w:t xml:space="preserve"> 1</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PURPOSE</w:t>
      </w:r>
      <w:r w:rsidRPr="00C86A70">
        <w:rPr>
          <w:rFonts w:ascii="Roboto" w:eastAsia="Times New Roman" w:hAnsi="Roboto" w:cs="Times New Roman"/>
          <w:color w:val="000000"/>
          <w:sz w:val="21"/>
          <w:szCs w:val="21"/>
          <w:lang w:eastAsia="en-GB"/>
        </w:rPr>
        <w:t xml:space="preserve">: This study sought to assess whether an endoscope's light setting influenced the number of FEES whiteout or </w:t>
      </w:r>
      <w:proofErr w:type="spellStart"/>
      <w:r w:rsidRPr="00C86A70">
        <w:rPr>
          <w:rFonts w:ascii="Roboto" w:eastAsia="Times New Roman" w:hAnsi="Roboto" w:cs="Times New Roman"/>
          <w:color w:val="000000"/>
          <w:sz w:val="21"/>
          <w:szCs w:val="21"/>
          <w:lang w:eastAsia="en-GB"/>
        </w:rPr>
        <w:t>pinkout</w:t>
      </w:r>
      <w:proofErr w:type="spellEnd"/>
      <w:r w:rsidRPr="00C86A70">
        <w:rPr>
          <w:rFonts w:ascii="Roboto" w:eastAsia="Times New Roman" w:hAnsi="Roboto" w:cs="Times New Roman"/>
          <w:color w:val="000000"/>
          <w:sz w:val="21"/>
          <w:szCs w:val="21"/>
          <w:lang w:eastAsia="en-GB"/>
        </w:rPr>
        <w:t xml:space="preserve"> frames in healthy subjects. We hypothesized that the number of whiteout frames during swallows from healthy participants would differ depending on the manual or automatic light setting. </w:t>
      </w:r>
      <w:r w:rsidRPr="00C86A70">
        <w:rPr>
          <w:rFonts w:ascii="Roboto" w:eastAsia="Times New Roman" w:hAnsi="Roboto" w:cs="Times New Roman"/>
          <w:b/>
          <w:bCs/>
          <w:color w:val="000000"/>
          <w:sz w:val="21"/>
          <w:szCs w:val="21"/>
          <w:lang w:eastAsia="en-GB"/>
        </w:rPr>
        <w:t>METHODS</w:t>
      </w:r>
      <w:r w:rsidRPr="00C86A70">
        <w:rPr>
          <w:rFonts w:ascii="Roboto" w:eastAsia="Times New Roman" w:hAnsi="Roboto" w:cs="Times New Roman"/>
          <w:color w:val="000000"/>
          <w:sz w:val="21"/>
          <w:szCs w:val="21"/>
          <w:lang w:eastAsia="en-GB"/>
        </w:rPr>
        <w:t xml:space="preserve">: Data were collected to assess the effect of Olympus endoscope light settings during FEES from </w:t>
      </w:r>
      <w:r w:rsidRPr="00C86A70">
        <w:rPr>
          <w:rFonts w:ascii="Roboto" w:eastAsia="Times New Roman" w:hAnsi="Roboto" w:cs="Times New Roman"/>
          <w:color w:val="000000"/>
          <w:sz w:val="21"/>
          <w:szCs w:val="21"/>
          <w:lang w:eastAsia="en-GB"/>
        </w:rPr>
        <w:lastRenderedPageBreak/>
        <w:t>healthy participants. Following a protocol of standard boluses, the light source was alternated between automatic and manual settings. During each swallow, purely white frames ("whiteout") and other hue frames ("</w:t>
      </w:r>
      <w:proofErr w:type="spellStart"/>
      <w:r w:rsidRPr="00C86A70">
        <w:rPr>
          <w:rFonts w:ascii="Roboto" w:eastAsia="Times New Roman" w:hAnsi="Roboto" w:cs="Times New Roman"/>
          <w:color w:val="000000"/>
          <w:sz w:val="21"/>
          <w:szCs w:val="21"/>
          <w:lang w:eastAsia="en-GB"/>
        </w:rPr>
        <w:t>pinkout</w:t>
      </w:r>
      <w:proofErr w:type="spellEnd"/>
      <w:r w:rsidRPr="00C86A70">
        <w:rPr>
          <w:rFonts w:ascii="Roboto" w:eastAsia="Times New Roman" w:hAnsi="Roboto" w:cs="Times New Roman"/>
          <w:color w:val="000000"/>
          <w:sz w:val="21"/>
          <w:szCs w:val="21"/>
          <w:lang w:eastAsia="en-GB"/>
        </w:rPr>
        <w:t>") were counted for each bolus and light setting. Linear mixed-effects model was used to compare automatic and manual light settings while accounting for repeated swallows within participants and adjusting for bolus type.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xml:space="preserve">: Retrospective FEES videos from 8 healthy volunteers were used, and 117 swallows were </w:t>
      </w:r>
      <w:proofErr w:type="spellStart"/>
      <w:r w:rsidRPr="00C86A70">
        <w:rPr>
          <w:rFonts w:ascii="Roboto" w:eastAsia="Times New Roman" w:hAnsi="Roboto" w:cs="Times New Roman"/>
          <w:color w:val="000000"/>
          <w:sz w:val="21"/>
          <w:szCs w:val="21"/>
          <w:lang w:eastAsia="en-GB"/>
        </w:rPr>
        <w:t>analyzed</w:t>
      </w:r>
      <w:proofErr w:type="spellEnd"/>
      <w:r w:rsidRPr="00C86A70">
        <w:rPr>
          <w:rFonts w:ascii="Roboto" w:eastAsia="Times New Roman" w:hAnsi="Roboto" w:cs="Times New Roman"/>
          <w:color w:val="000000"/>
          <w:sz w:val="21"/>
          <w:szCs w:val="21"/>
          <w:lang w:eastAsia="en-GB"/>
        </w:rPr>
        <w:t xml:space="preserve">. In descriptive analyses, the mean number of pure whiteout frames per swallow was 1.50 frames in the automatic setting and 13.97 frames in the manual setting. In the mixed-effects model, pure whiteout frame count was significantly lower in the automatic setting than in the manual setting (adjusted means: 1.45 vs. 13.76 frames; </w:t>
      </w:r>
      <w:proofErr w:type="gramStart"/>
      <w:r w:rsidRPr="00C86A70">
        <w:rPr>
          <w:rFonts w:ascii="Roboto" w:eastAsia="Times New Roman" w:hAnsi="Roboto" w:cs="Times New Roman"/>
          <w:color w:val="000000"/>
          <w:sz w:val="21"/>
          <w:szCs w:val="21"/>
          <w:lang w:eastAsia="en-GB"/>
        </w:rPr>
        <w:t>p :</w:t>
      </w:r>
      <w:proofErr w:type="gramEnd"/>
      <w:r w:rsidRPr="00C86A70">
        <w:rPr>
          <w:rFonts w:ascii="Roboto" w:eastAsia="Times New Roman" w:hAnsi="Roboto" w:cs="Times New Roman"/>
          <w:color w:val="000000"/>
          <w:sz w:val="21"/>
          <w:szCs w:val="21"/>
          <w:lang w:eastAsia="en-GB"/>
        </w:rPr>
        <w:t xml:space="preserve"> Retrospective FEES videos from 8 healthy volunteers were used, and 117 swallows were </w:t>
      </w:r>
      <w:proofErr w:type="spellStart"/>
      <w:r w:rsidRPr="00C86A70">
        <w:rPr>
          <w:rFonts w:ascii="Roboto" w:eastAsia="Times New Roman" w:hAnsi="Roboto" w:cs="Times New Roman"/>
          <w:color w:val="000000"/>
          <w:sz w:val="21"/>
          <w:szCs w:val="21"/>
          <w:lang w:eastAsia="en-GB"/>
        </w:rPr>
        <w:t>analyzed</w:t>
      </w:r>
      <w:proofErr w:type="spellEnd"/>
      <w:r w:rsidRPr="00C86A70">
        <w:rPr>
          <w:rFonts w:ascii="Roboto" w:eastAsia="Times New Roman" w:hAnsi="Roboto" w:cs="Times New Roman"/>
          <w:color w:val="000000"/>
          <w:sz w:val="21"/>
          <w:szCs w:val="21"/>
          <w:lang w:eastAsia="en-GB"/>
        </w:rPr>
        <w:t xml:space="preserve">. In descriptive analyses, the mean number of pure whiteout frames per swallow was 1.50 frames in the automatic setting and 13.97 frames in the manual setting. In the mixed-effects model, pure whiteout frame count was significantly lower in the automatic setting than in the manual setting (adjusted means: 1.45 vs. 13.76 frames; </w:t>
      </w:r>
      <w:proofErr w:type="gramStart"/>
      <w:r w:rsidRPr="00C86A70">
        <w:rPr>
          <w:rFonts w:ascii="Roboto" w:eastAsia="Times New Roman" w:hAnsi="Roboto" w:cs="Times New Roman"/>
          <w:color w:val="000000"/>
          <w:sz w:val="21"/>
          <w:szCs w:val="21"/>
          <w:lang w:eastAsia="en-GB"/>
        </w:rPr>
        <w:t>p :</w:t>
      </w:r>
      <w:proofErr w:type="gramEnd"/>
      <w:r w:rsidRPr="00C86A70">
        <w:rPr>
          <w:rFonts w:ascii="Roboto" w:eastAsia="Times New Roman" w:hAnsi="Roboto" w:cs="Times New Roman"/>
          <w:color w:val="000000"/>
          <w:sz w:val="21"/>
          <w:szCs w:val="21"/>
          <w:lang w:eastAsia="en-GB"/>
        </w:rPr>
        <w:t xml:space="preserve"> Retrospective FEES videos from 8 healthy volunteers were used, and 117 swallows were </w:t>
      </w:r>
      <w:proofErr w:type="spellStart"/>
      <w:r w:rsidRPr="00C86A70">
        <w:rPr>
          <w:rFonts w:ascii="Roboto" w:eastAsia="Times New Roman" w:hAnsi="Roboto" w:cs="Times New Roman"/>
          <w:color w:val="000000"/>
          <w:sz w:val="21"/>
          <w:szCs w:val="21"/>
          <w:lang w:eastAsia="en-GB"/>
        </w:rPr>
        <w:t>analyzed</w:t>
      </w:r>
      <w:proofErr w:type="spellEnd"/>
      <w:r w:rsidRPr="00C86A70">
        <w:rPr>
          <w:rFonts w:ascii="Roboto" w:eastAsia="Times New Roman" w:hAnsi="Roboto" w:cs="Times New Roman"/>
          <w:color w:val="000000"/>
          <w:sz w:val="21"/>
          <w:szCs w:val="21"/>
          <w:lang w:eastAsia="en-GB"/>
        </w:rPr>
        <w:t>. In descriptive analyses, the mean number of pure whiteout frames per swallow was 1.50 frames in the automatic setting and 13.97 frames in the manual setting. In the mixed-effects model, pure whiteout frame count was significantly lower in the automatic setting than in the manual setting (adjusted means: 1.45 vs. 13.76 frames; p </w:t>
      </w:r>
      <w:r w:rsidRPr="00C86A70">
        <w:rPr>
          <w:rFonts w:ascii="Roboto" w:eastAsia="Times New Roman" w:hAnsi="Roboto" w:cs="Times New Roman"/>
          <w:b/>
          <w:bCs/>
          <w:color w:val="000000"/>
          <w:sz w:val="21"/>
          <w:szCs w:val="21"/>
          <w:lang w:eastAsia="en-GB"/>
        </w:rPr>
        <w:t>CONCLUSION</w:t>
      </w:r>
      <w:r w:rsidRPr="00C86A70">
        <w:rPr>
          <w:rFonts w:ascii="Roboto" w:eastAsia="Times New Roman" w:hAnsi="Roboto" w:cs="Times New Roman"/>
          <w:color w:val="000000"/>
          <w:sz w:val="21"/>
          <w:szCs w:val="21"/>
          <w:lang w:eastAsia="en-GB"/>
        </w:rPr>
        <w:t xml:space="preserve">: These preliminary findings suggest that endoscopic light settings may influence the appearance, and measured frame counts of whiteout and </w:t>
      </w:r>
      <w:proofErr w:type="spellStart"/>
      <w:r w:rsidRPr="00C86A70">
        <w:rPr>
          <w:rFonts w:ascii="Roboto" w:eastAsia="Times New Roman" w:hAnsi="Roboto" w:cs="Times New Roman"/>
          <w:color w:val="000000"/>
          <w:sz w:val="21"/>
          <w:szCs w:val="21"/>
          <w:lang w:eastAsia="en-GB"/>
        </w:rPr>
        <w:t>pinkout</w:t>
      </w:r>
      <w:proofErr w:type="spellEnd"/>
      <w:r w:rsidRPr="00C86A70">
        <w:rPr>
          <w:rFonts w:ascii="Roboto" w:eastAsia="Times New Roman" w:hAnsi="Roboto" w:cs="Times New Roman"/>
          <w:color w:val="000000"/>
          <w:sz w:val="21"/>
          <w:szCs w:val="21"/>
          <w:lang w:eastAsia="en-GB"/>
        </w:rPr>
        <w:t xml:space="preserve"> during FEES. Automatic and manual light settings produced different patterns of pure whiteout and </w:t>
      </w:r>
      <w:proofErr w:type="spellStart"/>
      <w:r w:rsidRPr="00C86A70">
        <w:rPr>
          <w:rFonts w:ascii="Roboto" w:eastAsia="Times New Roman" w:hAnsi="Roboto" w:cs="Times New Roman"/>
          <w:color w:val="000000"/>
          <w:sz w:val="21"/>
          <w:szCs w:val="21"/>
          <w:lang w:eastAsia="en-GB"/>
        </w:rPr>
        <w:t>pinkout</w:t>
      </w:r>
      <w:proofErr w:type="spellEnd"/>
      <w:r w:rsidRPr="00C86A70">
        <w:rPr>
          <w:rFonts w:ascii="Roboto" w:eastAsia="Times New Roman" w:hAnsi="Roboto" w:cs="Times New Roman"/>
          <w:color w:val="000000"/>
          <w:sz w:val="21"/>
          <w:szCs w:val="21"/>
          <w:lang w:eastAsia="en-GB"/>
        </w:rPr>
        <w:t xml:space="preserve"> frames, while combined whiteout + </w:t>
      </w:r>
      <w:proofErr w:type="spellStart"/>
      <w:r w:rsidRPr="00C86A70">
        <w:rPr>
          <w:rFonts w:ascii="Roboto" w:eastAsia="Times New Roman" w:hAnsi="Roboto" w:cs="Times New Roman"/>
          <w:color w:val="000000"/>
          <w:sz w:val="21"/>
          <w:szCs w:val="21"/>
          <w:lang w:eastAsia="en-GB"/>
        </w:rPr>
        <w:t>pinkout</w:t>
      </w:r>
      <w:proofErr w:type="spellEnd"/>
      <w:r w:rsidRPr="00C86A70">
        <w:rPr>
          <w:rFonts w:ascii="Roboto" w:eastAsia="Times New Roman" w:hAnsi="Roboto" w:cs="Times New Roman"/>
          <w:color w:val="000000"/>
          <w:sz w:val="21"/>
          <w:szCs w:val="21"/>
          <w:lang w:eastAsia="en-GB"/>
        </w:rPr>
        <w:t xml:space="preserve"> frame counts were more similar across settings. These findings support the importance of documenting and, when possible, standardizing light and brightness settings in FEES research and clinical reporting.</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28" w:tgtFrame="_blank" w:history="1">
        <w:r w:rsidRPr="00C86A70">
          <w:rPr>
            <w:rFonts w:ascii="Roboto" w:eastAsia="Times New Roman" w:hAnsi="Roboto" w:cs="Times New Roman"/>
            <w:color w:val="0066CC"/>
            <w:sz w:val="21"/>
            <w:szCs w:val="21"/>
            <w:lang w:eastAsia="en-GB"/>
          </w:rPr>
          <w:t>https://libkey.io/10.1159/fpl/acvag004</w:t>
        </w:r>
      </w:hyperlink>
    </w:p>
    <w:p w14:paraId="494F15CE" w14:textId="29AA361E" w:rsidR="003E7AE2" w:rsidRDefault="00C86A70" w:rsidP="00C86A70">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i/>
          <w:iCs/>
          <w:color w:val="000000"/>
          <w:sz w:val="21"/>
          <w:szCs w:val="21"/>
          <w:shd w:val="clear" w:color="auto" w:fill="FFFFFF"/>
          <w:lang w:eastAsia="en-GB"/>
        </w:rPr>
        <w:t>You will need your </w:t>
      </w:r>
      <w:hyperlink r:id="rId29" w:history="1">
        <w:r w:rsidRPr="00C86A70">
          <w:rPr>
            <w:rFonts w:ascii="Roboto" w:eastAsia="Times New Roman" w:hAnsi="Roboto" w:cs="Times New Roman"/>
            <w:i/>
            <w:iCs/>
            <w:color w:val="0066CC"/>
            <w:sz w:val="21"/>
            <w:szCs w:val="21"/>
            <w:lang w:eastAsia="en-GB"/>
          </w:rPr>
          <w:t xml:space="preserve">NHS </w:t>
        </w:r>
        <w:proofErr w:type="spellStart"/>
        <w:r w:rsidRPr="00C86A70">
          <w:rPr>
            <w:rFonts w:ascii="Roboto" w:eastAsia="Times New Roman" w:hAnsi="Roboto" w:cs="Times New Roman"/>
            <w:i/>
            <w:iCs/>
            <w:color w:val="0066CC"/>
            <w:sz w:val="21"/>
            <w:szCs w:val="21"/>
            <w:lang w:eastAsia="en-GB"/>
          </w:rPr>
          <w:t>OpenAthens</w:t>
        </w:r>
        <w:proofErr w:type="spellEnd"/>
        <w:r w:rsidRPr="00C86A70">
          <w:rPr>
            <w:rFonts w:ascii="Roboto" w:eastAsia="Times New Roman" w:hAnsi="Roboto" w:cs="Times New Roman"/>
            <w:i/>
            <w:iCs/>
            <w:color w:val="0066CC"/>
            <w:sz w:val="21"/>
            <w:szCs w:val="21"/>
            <w:lang w:eastAsia="en-GB"/>
          </w:rPr>
          <w:t xml:space="preserve"> account</w:t>
        </w:r>
      </w:hyperlink>
      <w:r w:rsidRPr="00C86A70">
        <w:rPr>
          <w:rFonts w:ascii="Roboto" w:eastAsia="Times New Roman" w:hAnsi="Roboto" w:cs="Times New Roman"/>
          <w:i/>
          <w:iCs/>
          <w:color w:val="000000"/>
          <w:sz w:val="21"/>
          <w:szCs w:val="21"/>
          <w:shd w:val="clear" w:color="auto" w:fill="FFFFFF"/>
          <w:lang w:eastAsia="en-GB"/>
        </w:rPr>
        <w:t> to access the full text of licenced content.</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i/>
          <w:iCs/>
          <w:color w:val="000000"/>
          <w:sz w:val="21"/>
          <w:szCs w:val="21"/>
          <w:shd w:val="clear" w:color="auto" w:fill="FFFFFF"/>
          <w:lang w:eastAsia="en-GB"/>
        </w:rPr>
        <w:t>This service is provided to the NHS in England by NHSE Workforce, Training &amp; Education.</w:t>
      </w:r>
    </w:p>
    <w:p w14:paraId="7A044AE9" w14:textId="77777777" w:rsidR="003E7AE2" w:rsidRPr="003E7AE2" w:rsidRDefault="003E7AE2" w:rsidP="003E7AE2">
      <w:pPr>
        <w:pStyle w:val="Heading1"/>
      </w:pPr>
      <w:bookmarkStart w:id="4" w:name="_Toc239259698"/>
      <w:r>
        <w:t>Neurorehabilitation</w:t>
      </w:r>
      <w:bookmarkEnd w:id="4"/>
    </w:p>
    <w:p w14:paraId="665F6EFD" w14:textId="6FE34EDC" w:rsidR="00C86A70" w:rsidRPr="00C86A70" w:rsidRDefault="00C86A70" w:rsidP="00C86A70">
      <w:pPr>
        <w:shd w:val="clear" w:color="auto" w:fill="FFFFFF"/>
        <w:spacing w:after="173"/>
        <w:ind w:left="450" w:hanging="450"/>
        <w:rPr>
          <w:rFonts w:ascii="Roboto" w:eastAsia="Times New Roman" w:hAnsi="Roboto" w:cs="Times New Roman"/>
          <w:color w:val="000000"/>
          <w:sz w:val="21"/>
          <w:szCs w:val="21"/>
          <w:lang w:eastAsia="en-GB"/>
        </w:rPr>
      </w:pPr>
      <w:r w:rsidRPr="00C86A70">
        <w:rPr>
          <w:rFonts w:ascii="Roboto" w:eastAsia="Times New Roman" w:hAnsi="Roboto" w:cs="Times New Roman"/>
          <w:color w:val="000000"/>
          <w:sz w:val="21"/>
          <w:szCs w:val="21"/>
          <w:lang w:eastAsia="en-GB"/>
        </w:rPr>
        <w:t>1. </w:t>
      </w:r>
      <w:r w:rsidRPr="00C86A70">
        <w:rPr>
          <w:rFonts w:ascii="Roboto" w:eastAsia="Times New Roman" w:hAnsi="Roboto" w:cs="Times New Roman"/>
          <w:b/>
          <w:bCs/>
          <w:color w:val="000000"/>
          <w:sz w:val="21"/>
          <w:szCs w:val="21"/>
          <w:lang w:eastAsia="en-GB"/>
        </w:rPr>
        <w:t>The future of high-dose, high-intensity neurorehabilitation: Consensus-based core recommendations from the fourth Stroke Recovery and Rehabilitation Roundtable.</w:t>
      </w:r>
      <w:r w:rsidRPr="00C86A70">
        <w:rPr>
          <w:rFonts w:ascii="Roboto" w:eastAsia="Times New Roman" w:hAnsi="Roboto" w:cs="Times New Roman"/>
          <w:b/>
          <w:bCs/>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Authors:</w:t>
      </w:r>
      <w:r w:rsidRPr="00C86A70">
        <w:rPr>
          <w:rFonts w:ascii="Roboto" w:eastAsia="Times New Roman" w:hAnsi="Roboto" w:cs="Times New Roman"/>
          <w:color w:val="000000"/>
          <w:sz w:val="21"/>
          <w:szCs w:val="21"/>
          <w:lang w:eastAsia="en-GB"/>
        </w:rPr>
        <w:t> </w:t>
      </w:r>
      <w:proofErr w:type="spellStart"/>
      <w:r w:rsidRPr="00C86A70">
        <w:rPr>
          <w:rFonts w:ascii="Roboto" w:eastAsia="Times New Roman" w:hAnsi="Roboto" w:cs="Times New Roman"/>
          <w:color w:val="000000"/>
          <w:sz w:val="21"/>
          <w:szCs w:val="21"/>
          <w:lang w:eastAsia="en-GB"/>
        </w:rPr>
        <w:t>Branscheidt</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Meret;Mahmoud</w:t>
      </w:r>
      <w:proofErr w:type="spellEnd"/>
      <w:r w:rsidRPr="00C86A70">
        <w:rPr>
          <w:rFonts w:ascii="Roboto" w:eastAsia="Times New Roman" w:hAnsi="Roboto" w:cs="Times New Roman"/>
          <w:color w:val="000000"/>
          <w:sz w:val="21"/>
          <w:szCs w:val="21"/>
          <w:lang w:eastAsia="en-GB"/>
        </w:rPr>
        <w:t xml:space="preserve">, Wala </w:t>
      </w:r>
      <w:proofErr w:type="spellStart"/>
      <w:r w:rsidRPr="00C86A70">
        <w:rPr>
          <w:rFonts w:ascii="Roboto" w:eastAsia="Times New Roman" w:hAnsi="Roboto" w:cs="Times New Roman"/>
          <w:color w:val="000000"/>
          <w:sz w:val="21"/>
          <w:szCs w:val="21"/>
          <w:lang w:eastAsia="en-GB"/>
        </w:rPr>
        <w:t>Jaser;Bauer</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Christoph;Cortes</w:t>
      </w:r>
      <w:proofErr w:type="spellEnd"/>
      <w:r w:rsidRPr="00C86A70">
        <w:rPr>
          <w:rFonts w:ascii="Roboto" w:eastAsia="Times New Roman" w:hAnsi="Roboto" w:cs="Times New Roman"/>
          <w:color w:val="000000"/>
          <w:sz w:val="21"/>
          <w:szCs w:val="21"/>
          <w:lang w:eastAsia="en-GB"/>
        </w:rPr>
        <w:t xml:space="preserve"> Ramirez, Juan </w:t>
      </w:r>
      <w:proofErr w:type="spellStart"/>
      <w:r w:rsidRPr="00C86A70">
        <w:rPr>
          <w:rFonts w:ascii="Roboto" w:eastAsia="Times New Roman" w:hAnsi="Roboto" w:cs="Times New Roman"/>
          <w:color w:val="000000"/>
          <w:sz w:val="21"/>
          <w:szCs w:val="21"/>
          <w:lang w:eastAsia="en-GB"/>
        </w:rPr>
        <w:t>Camillo;Cotton</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Ronald;Cramer</w:t>
      </w:r>
      <w:proofErr w:type="spellEnd"/>
      <w:r w:rsidRPr="00C86A70">
        <w:rPr>
          <w:rFonts w:ascii="Roboto" w:eastAsia="Times New Roman" w:hAnsi="Roboto" w:cs="Times New Roman"/>
          <w:color w:val="000000"/>
          <w:sz w:val="21"/>
          <w:szCs w:val="21"/>
          <w:lang w:eastAsia="en-GB"/>
        </w:rPr>
        <w:t xml:space="preserve">, Steven </w:t>
      </w:r>
      <w:proofErr w:type="spellStart"/>
      <w:r w:rsidRPr="00C86A70">
        <w:rPr>
          <w:rFonts w:ascii="Roboto" w:eastAsia="Times New Roman" w:hAnsi="Roboto" w:cs="Times New Roman"/>
          <w:color w:val="000000"/>
          <w:sz w:val="21"/>
          <w:szCs w:val="21"/>
          <w:lang w:eastAsia="en-GB"/>
        </w:rPr>
        <w:t>C.;Gallegos</w:t>
      </w:r>
      <w:proofErr w:type="spellEnd"/>
      <w:r w:rsidRPr="00C86A70">
        <w:rPr>
          <w:rFonts w:ascii="Roboto" w:eastAsia="Times New Roman" w:hAnsi="Roboto" w:cs="Times New Roman"/>
          <w:color w:val="000000"/>
          <w:sz w:val="21"/>
          <w:szCs w:val="21"/>
          <w:lang w:eastAsia="en-GB"/>
        </w:rPr>
        <w:t xml:space="preserve"> Berrios, </w:t>
      </w:r>
      <w:proofErr w:type="spellStart"/>
      <w:r w:rsidRPr="00C86A70">
        <w:rPr>
          <w:rFonts w:ascii="Roboto" w:eastAsia="Times New Roman" w:hAnsi="Roboto" w:cs="Times New Roman"/>
          <w:color w:val="000000"/>
          <w:sz w:val="21"/>
          <w:szCs w:val="21"/>
          <w:lang w:eastAsia="en-GB"/>
        </w:rPr>
        <w:t>Sebastian;Kwakkel</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Gert;Lambercy</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Olivier;Laver</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Kate;Picelli</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Alessandro;Salbach</w:t>
      </w:r>
      <w:proofErr w:type="spellEnd"/>
      <w:r w:rsidRPr="00C86A70">
        <w:rPr>
          <w:rFonts w:ascii="Roboto" w:eastAsia="Times New Roman" w:hAnsi="Roboto" w:cs="Times New Roman"/>
          <w:color w:val="000000"/>
          <w:sz w:val="21"/>
          <w:szCs w:val="21"/>
          <w:lang w:eastAsia="en-GB"/>
        </w:rPr>
        <w:t xml:space="preserve">, Nancy </w:t>
      </w:r>
      <w:proofErr w:type="spellStart"/>
      <w:r w:rsidRPr="00C86A70">
        <w:rPr>
          <w:rFonts w:ascii="Roboto" w:eastAsia="Times New Roman" w:hAnsi="Roboto" w:cs="Times New Roman"/>
          <w:color w:val="000000"/>
          <w:sz w:val="21"/>
          <w:szCs w:val="21"/>
          <w:lang w:eastAsia="en-GB"/>
        </w:rPr>
        <w:t>Margaret;Solomon</w:t>
      </w:r>
      <w:proofErr w:type="spellEnd"/>
      <w:r w:rsidRPr="00C86A70">
        <w:rPr>
          <w:rFonts w:ascii="Roboto" w:eastAsia="Times New Roman" w:hAnsi="Roboto" w:cs="Times New Roman"/>
          <w:color w:val="000000"/>
          <w:sz w:val="21"/>
          <w:szCs w:val="21"/>
          <w:lang w:eastAsia="en-GB"/>
        </w:rPr>
        <w:t>, John M.;</w:t>
      </w:r>
      <w:proofErr w:type="spellStart"/>
      <w:r w:rsidRPr="00C86A70">
        <w:rPr>
          <w:rFonts w:ascii="Roboto" w:eastAsia="Times New Roman" w:hAnsi="Roboto" w:cs="Times New Roman"/>
          <w:color w:val="000000"/>
          <w:sz w:val="21"/>
          <w:szCs w:val="21"/>
          <w:lang w:eastAsia="en-GB"/>
        </w:rPr>
        <w:t>Teasell</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Robert;Van</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Criekinge</w:t>
      </w:r>
      <w:proofErr w:type="spellEnd"/>
      <w:r w:rsidRPr="00C86A70">
        <w:rPr>
          <w:rFonts w:ascii="Roboto" w:eastAsia="Times New Roman" w:hAnsi="Roboto" w:cs="Times New Roman"/>
          <w:color w:val="000000"/>
          <w:sz w:val="21"/>
          <w:szCs w:val="21"/>
          <w:lang w:eastAsia="en-GB"/>
        </w:rPr>
        <w:t xml:space="preserve">, </w:t>
      </w:r>
      <w:proofErr w:type="spellStart"/>
      <w:r w:rsidRPr="00C86A70">
        <w:rPr>
          <w:rFonts w:ascii="Roboto" w:eastAsia="Times New Roman" w:hAnsi="Roboto" w:cs="Times New Roman"/>
          <w:color w:val="000000"/>
          <w:sz w:val="21"/>
          <w:szCs w:val="21"/>
          <w:lang w:eastAsia="en-GB"/>
        </w:rPr>
        <w:t>Tamaya;Weerdesteyn</w:t>
      </w:r>
      <w:proofErr w:type="spellEnd"/>
      <w:r w:rsidRPr="00C86A70">
        <w:rPr>
          <w:rFonts w:ascii="Roboto" w:eastAsia="Times New Roman" w:hAnsi="Roboto" w:cs="Times New Roman"/>
          <w:color w:val="000000"/>
          <w:sz w:val="21"/>
          <w:szCs w:val="21"/>
          <w:lang w:eastAsia="en-GB"/>
        </w:rPr>
        <w:t>, Vivian and Krakauer, John W.</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Publication Date: </w:t>
      </w:r>
      <w:r w:rsidRPr="00C86A70">
        <w:rPr>
          <w:rFonts w:ascii="Roboto" w:eastAsia="Times New Roman" w:hAnsi="Roboto" w:cs="Times New Roman"/>
          <w:color w:val="000000"/>
          <w:sz w:val="21"/>
          <w:szCs w:val="21"/>
          <w:lang w:eastAsia="en-GB"/>
        </w:rPr>
        <w:t>Aug 22 ,2026</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Journal: </w:t>
      </w:r>
      <w:r w:rsidRPr="00C86A70">
        <w:rPr>
          <w:rFonts w:ascii="Roboto" w:eastAsia="Times New Roman" w:hAnsi="Roboto" w:cs="Times New Roman"/>
          <w:color w:val="000000"/>
          <w:sz w:val="21"/>
          <w:szCs w:val="21"/>
          <w:lang w:eastAsia="en-GB"/>
        </w:rPr>
        <w:t>International Journal of Stroke 17474930261483951</w:t>
      </w:r>
      <w:r w:rsidR="001C0895">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Abstract: OBJECTIVE</w:t>
      </w:r>
      <w:r w:rsidRPr="00C86A70">
        <w:rPr>
          <w:rFonts w:ascii="Roboto" w:eastAsia="Times New Roman" w:hAnsi="Roboto" w:cs="Times New Roman"/>
          <w:color w:val="000000"/>
          <w:sz w:val="21"/>
          <w:szCs w:val="21"/>
          <w:lang w:eastAsia="en-GB"/>
        </w:rPr>
        <w:t>: Convergent evidence indicates that high-dose, high-intensity rehabilitation (HDHI) improves outcomes beyond usual care after stroke, yet implementation remains limited. While questions of optimal dose, timing, and delivery format continue to be refined, the biological plausibility and clinical rationale for HDHI are well established. The fourth Stroke Recovery and Rehabilitation Roundtable convened to identify principal barriers to wider HDHI uptake and derive actionable solutions. </w:t>
      </w:r>
      <w:r w:rsidRPr="00C86A70">
        <w:rPr>
          <w:rFonts w:ascii="Roboto" w:eastAsia="Times New Roman" w:hAnsi="Roboto" w:cs="Times New Roman"/>
          <w:b/>
          <w:bCs/>
          <w:color w:val="000000"/>
          <w:sz w:val="21"/>
          <w:szCs w:val="21"/>
          <w:lang w:eastAsia="en-GB"/>
        </w:rPr>
        <w:t>METHODS</w:t>
      </w:r>
      <w:r w:rsidRPr="00C86A70">
        <w:rPr>
          <w:rFonts w:ascii="Roboto" w:eastAsia="Times New Roman" w:hAnsi="Roboto" w:cs="Times New Roman"/>
          <w:color w:val="000000"/>
          <w:sz w:val="21"/>
          <w:szCs w:val="21"/>
          <w:lang w:eastAsia="en-GB"/>
        </w:rPr>
        <w:t>: Sixteen international experts from nine countries used a structured consensus process, including surveys, barrier ranking, targeted evidence reviews, and a 2-day in-person meeting. </w:t>
      </w:r>
      <w:r w:rsidRPr="00C86A70">
        <w:rPr>
          <w:rFonts w:ascii="Roboto" w:eastAsia="Times New Roman" w:hAnsi="Roboto" w:cs="Times New Roman"/>
          <w:b/>
          <w:bCs/>
          <w:color w:val="000000"/>
          <w:sz w:val="21"/>
          <w:szCs w:val="21"/>
          <w:lang w:eastAsia="en-GB"/>
        </w:rPr>
        <w:t>RESULTS</w:t>
      </w:r>
      <w:r w:rsidRPr="00C86A70">
        <w:rPr>
          <w:rFonts w:ascii="Roboto" w:eastAsia="Times New Roman" w:hAnsi="Roboto" w:cs="Times New Roman"/>
          <w:color w:val="000000"/>
          <w:sz w:val="21"/>
          <w:szCs w:val="21"/>
          <w:lang w:eastAsia="en-GB"/>
        </w:rPr>
        <w:t xml:space="preserve">: Four interrelated barriers were identified: (1) a conceptual knowledge </w:t>
      </w:r>
      <w:r w:rsidRPr="00C86A70">
        <w:rPr>
          <w:rFonts w:ascii="Roboto" w:eastAsia="Times New Roman" w:hAnsi="Roboto" w:cs="Times New Roman"/>
          <w:color w:val="000000"/>
          <w:sz w:val="21"/>
          <w:szCs w:val="21"/>
          <w:lang w:eastAsia="en-GB"/>
        </w:rPr>
        <w:lastRenderedPageBreak/>
        <w:t>gap persists regarding HDHI's targets, mechanisms, and effects; (2) scale and delivery constraints prevent the required dose from being delivered by current conventional care models, making home- and community-based hybrid pathways essential; (3) resistance to change despite the evidence because it places strain on clinicians given their time constraints, inflexible remuneration, and low levels of administrative support; and (4) insufficient system-level enablers to provide longitudinal continuity, patient coordination, and readily accessible technology. </w:t>
      </w:r>
      <w:r w:rsidRPr="00C86A70">
        <w:rPr>
          <w:rFonts w:ascii="Roboto" w:eastAsia="Times New Roman" w:hAnsi="Roboto" w:cs="Times New Roman"/>
          <w:b/>
          <w:bCs/>
          <w:color w:val="000000"/>
          <w:sz w:val="21"/>
          <w:szCs w:val="21"/>
          <w:lang w:eastAsia="en-GB"/>
        </w:rPr>
        <w:t>RECOMMENDATIONS</w:t>
      </w:r>
      <w:r w:rsidRPr="00C86A70">
        <w:rPr>
          <w:rFonts w:ascii="Roboto" w:eastAsia="Times New Roman" w:hAnsi="Roboto" w:cs="Times New Roman"/>
          <w:color w:val="000000"/>
          <w:sz w:val="21"/>
          <w:szCs w:val="21"/>
          <w:lang w:eastAsia="en-GB"/>
        </w:rPr>
        <w:t>: The primary limitation to HDHI is implementation capacity, not biological plausibility or lack of evidence. Implementation research should now proceed in parallel with ongoing efficacy refinement. Priorities include building mechanistic and evidentiary literacy, clarifying professional roles, enabling home-based delivery, aligning reimbursement with long-term economic evaluation, and developing the infrastructure and protocols for scalable longitudinal care.</w:t>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color w:val="000000"/>
          <w:sz w:val="21"/>
          <w:szCs w:val="21"/>
          <w:lang w:eastAsia="en-GB"/>
        </w:rPr>
        <w:br/>
      </w:r>
      <w:r w:rsidRPr="00C86A70">
        <w:rPr>
          <w:rFonts w:ascii="Roboto" w:eastAsia="Times New Roman" w:hAnsi="Roboto" w:cs="Times New Roman"/>
          <w:b/>
          <w:bCs/>
          <w:color w:val="000000"/>
          <w:sz w:val="21"/>
          <w:szCs w:val="21"/>
          <w:lang w:eastAsia="en-GB"/>
        </w:rPr>
        <w:t>Access or request full text: </w:t>
      </w:r>
      <w:hyperlink r:id="rId30" w:tgtFrame="_blank" w:history="1">
        <w:r w:rsidRPr="00C86A70">
          <w:rPr>
            <w:rFonts w:ascii="Roboto" w:eastAsia="Times New Roman" w:hAnsi="Roboto" w:cs="Times New Roman"/>
            <w:color w:val="0066CC"/>
            <w:sz w:val="21"/>
            <w:szCs w:val="21"/>
            <w:lang w:eastAsia="en-GB"/>
          </w:rPr>
          <w:t>https://libkey.io/10.1177/17474930261483951</w:t>
        </w:r>
      </w:hyperlink>
    </w:p>
    <w:p w14:paraId="11BACD00" w14:textId="7631BF37" w:rsidR="00DD6D1E" w:rsidRDefault="00C86A70" w:rsidP="00C86A70">
      <w:pPr>
        <w:pStyle w:val="Default"/>
        <w:rPr>
          <w:b/>
          <w:bCs/>
          <w:sz w:val="20"/>
          <w:szCs w:val="22"/>
        </w:rPr>
      </w:pPr>
      <w:r w:rsidRPr="00C86A70">
        <w:rPr>
          <w:rFonts w:ascii="Roboto" w:eastAsia="Times New Roman" w:hAnsi="Roboto" w:cs="Times New Roman"/>
          <w:sz w:val="21"/>
          <w:szCs w:val="21"/>
          <w:lang w:eastAsia="en-GB"/>
        </w:rPr>
        <w:br/>
      </w:r>
      <w:r w:rsidRPr="00C86A70">
        <w:rPr>
          <w:rFonts w:ascii="Roboto" w:eastAsia="Times New Roman" w:hAnsi="Roboto" w:cs="Times New Roman"/>
          <w:i/>
          <w:iCs/>
          <w:sz w:val="21"/>
          <w:szCs w:val="21"/>
          <w:shd w:val="clear" w:color="auto" w:fill="FFFFFF"/>
          <w:lang w:eastAsia="en-GB"/>
        </w:rPr>
        <w:t>You will need your </w:t>
      </w:r>
      <w:hyperlink r:id="rId31" w:history="1">
        <w:r w:rsidRPr="00C86A70">
          <w:rPr>
            <w:rFonts w:ascii="Roboto" w:eastAsia="Times New Roman" w:hAnsi="Roboto" w:cs="Times New Roman"/>
            <w:i/>
            <w:iCs/>
            <w:color w:val="0066CC"/>
            <w:sz w:val="21"/>
            <w:szCs w:val="21"/>
            <w:lang w:eastAsia="en-GB"/>
          </w:rPr>
          <w:t xml:space="preserve">NHS </w:t>
        </w:r>
        <w:proofErr w:type="spellStart"/>
        <w:r w:rsidRPr="00C86A70">
          <w:rPr>
            <w:rFonts w:ascii="Roboto" w:eastAsia="Times New Roman" w:hAnsi="Roboto" w:cs="Times New Roman"/>
            <w:i/>
            <w:iCs/>
            <w:color w:val="0066CC"/>
            <w:sz w:val="21"/>
            <w:szCs w:val="21"/>
            <w:lang w:eastAsia="en-GB"/>
          </w:rPr>
          <w:t>OpenAthens</w:t>
        </w:r>
        <w:proofErr w:type="spellEnd"/>
        <w:r w:rsidRPr="00C86A70">
          <w:rPr>
            <w:rFonts w:ascii="Roboto" w:eastAsia="Times New Roman" w:hAnsi="Roboto" w:cs="Times New Roman"/>
            <w:i/>
            <w:iCs/>
            <w:color w:val="0066CC"/>
            <w:sz w:val="21"/>
            <w:szCs w:val="21"/>
            <w:lang w:eastAsia="en-GB"/>
          </w:rPr>
          <w:t xml:space="preserve"> account</w:t>
        </w:r>
      </w:hyperlink>
      <w:r w:rsidRPr="00C86A70">
        <w:rPr>
          <w:rFonts w:ascii="Roboto" w:eastAsia="Times New Roman" w:hAnsi="Roboto" w:cs="Times New Roman"/>
          <w:i/>
          <w:iCs/>
          <w:sz w:val="21"/>
          <w:szCs w:val="21"/>
          <w:shd w:val="clear" w:color="auto" w:fill="FFFFFF"/>
          <w:lang w:eastAsia="en-GB"/>
        </w:rPr>
        <w:t> to access the full text of licenced content.</w:t>
      </w:r>
      <w:r w:rsidRPr="00C86A70">
        <w:rPr>
          <w:rFonts w:ascii="Roboto" w:eastAsia="Times New Roman" w:hAnsi="Roboto" w:cs="Times New Roman"/>
          <w:sz w:val="21"/>
          <w:szCs w:val="21"/>
          <w:lang w:eastAsia="en-GB"/>
        </w:rPr>
        <w:br/>
      </w:r>
      <w:r w:rsidRPr="00C86A70">
        <w:rPr>
          <w:rFonts w:ascii="Roboto" w:eastAsia="Times New Roman" w:hAnsi="Roboto" w:cs="Times New Roman"/>
          <w:i/>
          <w:iCs/>
          <w:sz w:val="21"/>
          <w:szCs w:val="21"/>
          <w:shd w:val="clear" w:color="auto" w:fill="FFFFFF"/>
          <w:lang w:eastAsia="en-GB"/>
        </w:rPr>
        <w:t>This service is provided to the NHS in England by NHSE Workforce, Training &amp; Education.</w:t>
      </w:r>
    </w:p>
    <w:p w14:paraId="46573252" w14:textId="77777777" w:rsidR="00DD6D1E" w:rsidRDefault="00DD6D1E" w:rsidP="00DD6D1E">
      <w:pPr>
        <w:pStyle w:val="Default"/>
        <w:rPr>
          <w:b/>
          <w:bCs/>
          <w:sz w:val="20"/>
          <w:szCs w:val="22"/>
        </w:rPr>
      </w:pPr>
    </w:p>
    <w:p w14:paraId="1A324BE8" w14:textId="77777777" w:rsidR="00DD6D1E" w:rsidRPr="00054308" w:rsidRDefault="00DD6D1E" w:rsidP="00DD6D1E">
      <w:pPr>
        <w:pStyle w:val="Default"/>
        <w:rPr>
          <w:sz w:val="20"/>
          <w:szCs w:val="22"/>
        </w:rPr>
      </w:pPr>
      <w:r w:rsidRPr="00054308">
        <w:rPr>
          <w:b/>
          <w:bCs/>
          <w:sz w:val="20"/>
          <w:szCs w:val="22"/>
        </w:rPr>
        <w:t xml:space="preserve">Sources Used: </w:t>
      </w:r>
    </w:p>
    <w:p w14:paraId="1696CE23" w14:textId="1D0DAEDD" w:rsidR="00DD6D1E" w:rsidRPr="00054308" w:rsidRDefault="00DD6D1E" w:rsidP="00DD6D1E">
      <w:pPr>
        <w:pStyle w:val="Default"/>
        <w:rPr>
          <w:sz w:val="20"/>
          <w:szCs w:val="22"/>
        </w:rPr>
      </w:pPr>
      <w:r>
        <w:rPr>
          <w:sz w:val="20"/>
          <w:szCs w:val="22"/>
        </w:rPr>
        <w:t>The following databases we</w:t>
      </w:r>
      <w:r w:rsidRPr="00054308">
        <w:rPr>
          <w:sz w:val="20"/>
          <w:szCs w:val="22"/>
        </w:rPr>
        <w:t>re used in the crea</w:t>
      </w:r>
      <w:r>
        <w:rPr>
          <w:sz w:val="20"/>
          <w:szCs w:val="22"/>
        </w:rPr>
        <w:t xml:space="preserve">tion of this bulletin: </w:t>
      </w:r>
      <w:r w:rsidR="00B634F3">
        <w:rPr>
          <w:sz w:val="20"/>
          <w:szCs w:val="22"/>
        </w:rPr>
        <w:t>MEDLINE</w:t>
      </w:r>
      <w:r w:rsidRPr="00054308">
        <w:rPr>
          <w:sz w:val="20"/>
          <w:szCs w:val="22"/>
        </w:rPr>
        <w:t xml:space="preserve">. </w:t>
      </w:r>
    </w:p>
    <w:p w14:paraId="326ED9CD" w14:textId="77777777" w:rsidR="00DD6D1E" w:rsidRPr="00054308" w:rsidRDefault="00DD6D1E" w:rsidP="00DD6D1E">
      <w:pPr>
        <w:pStyle w:val="Default"/>
        <w:rPr>
          <w:sz w:val="20"/>
          <w:szCs w:val="22"/>
        </w:rPr>
      </w:pPr>
    </w:p>
    <w:p w14:paraId="61A65314" w14:textId="77777777" w:rsidR="00DD6D1E" w:rsidRPr="00054308" w:rsidRDefault="00DD6D1E" w:rsidP="00DD6D1E">
      <w:pPr>
        <w:pStyle w:val="Default"/>
        <w:rPr>
          <w:sz w:val="20"/>
          <w:szCs w:val="22"/>
        </w:rPr>
      </w:pPr>
      <w:r w:rsidRPr="00054308">
        <w:rPr>
          <w:b/>
          <w:bCs/>
          <w:sz w:val="20"/>
          <w:szCs w:val="22"/>
        </w:rPr>
        <w:t xml:space="preserve">Disclaimer </w:t>
      </w:r>
    </w:p>
    <w:p w14:paraId="44CE1CA7" w14:textId="77777777" w:rsidR="00DD6D1E" w:rsidRPr="00054308" w:rsidRDefault="00DD6D1E" w:rsidP="00DD6D1E">
      <w:pPr>
        <w:pStyle w:val="Default"/>
        <w:rPr>
          <w:sz w:val="20"/>
          <w:szCs w:val="22"/>
        </w:rPr>
      </w:pPr>
      <w:r w:rsidRPr="00054308">
        <w:rPr>
          <w:sz w:val="20"/>
          <w:szCs w:val="22"/>
        </w:rPr>
        <w:t xml:space="preserve">Royal United Hospital Bath Healthcare Library will endeavour to use the best, most appropriate and most recent sources available to it, but accepts no liability for the information retrieved, which is subject to the content and accuracy of databases, and the limitations of the search process. The library assumes no liability for the interpretation or application of these results, which are not intended to provide advice or recommendations on patient care. </w:t>
      </w:r>
    </w:p>
    <w:p w14:paraId="322E0C35" w14:textId="77777777" w:rsidR="00DD6D1E" w:rsidRDefault="00DD6D1E"/>
    <w:sectPr w:rsidR="00DD6D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06B05"/>
    <w:multiLevelType w:val="hybridMultilevel"/>
    <w:tmpl w:val="E63086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34666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D1E"/>
    <w:rsid w:val="000A6B97"/>
    <w:rsid w:val="00173E0E"/>
    <w:rsid w:val="00177EA9"/>
    <w:rsid w:val="001C0895"/>
    <w:rsid w:val="0021117F"/>
    <w:rsid w:val="003E7AE2"/>
    <w:rsid w:val="0051077C"/>
    <w:rsid w:val="00597049"/>
    <w:rsid w:val="005C41DE"/>
    <w:rsid w:val="005D5391"/>
    <w:rsid w:val="00653B13"/>
    <w:rsid w:val="007B49D9"/>
    <w:rsid w:val="008B2EBE"/>
    <w:rsid w:val="008E77F6"/>
    <w:rsid w:val="00B22E2B"/>
    <w:rsid w:val="00B60576"/>
    <w:rsid w:val="00B610E0"/>
    <w:rsid w:val="00B634F3"/>
    <w:rsid w:val="00C3303F"/>
    <w:rsid w:val="00C86A70"/>
    <w:rsid w:val="00D3468F"/>
    <w:rsid w:val="00D67C1F"/>
    <w:rsid w:val="00DD6D1E"/>
    <w:rsid w:val="00E530FB"/>
    <w:rsid w:val="00E62DDC"/>
    <w:rsid w:val="00F10644"/>
    <w:rsid w:val="00F95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C955"/>
  <w15:chartTrackingRefBased/>
  <w15:docId w15:val="{73159F7F-958E-47BB-96BF-1C338BDE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68F"/>
    <w:pPr>
      <w:spacing w:after="0" w:line="240" w:lineRule="auto"/>
    </w:pPr>
    <w:rPr>
      <w:rFonts w:ascii="Arial" w:hAnsi="Arial" w:cs="Calibri"/>
      <w:sz w:val="24"/>
    </w:rPr>
  </w:style>
  <w:style w:type="paragraph" w:styleId="Heading1">
    <w:name w:val="heading 1"/>
    <w:basedOn w:val="Normal"/>
    <w:next w:val="Normal"/>
    <w:link w:val="Heading1Char"/>
    <w:uiPriority w:val="9"/>
    <w:qFormat/>
    <w:rsid w:val="003E7AE2"/>
    <w:pPr>
      <w:keepNext/>
      <w:keepLines/>
      <w:spacing w:before="24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semiHidden/>
    <w:unhideWhenUsed/>
    <w:qFormat/>
    <w:rsid w:val="00C86A7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6D1E"/>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DD6D1E"/>
    <w:pPr>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DD6D1E"/>
    <w:rPr>
      <w:rFonts w:ascii="Arial" w:eastAsiaTheme="majorEastAsia" w:hAnsi="Arial" w:cstheme="majorBidi"/>
      <w:b/>
      <w:spacing w:val="-10"/>
      <w:kern w:val="28"/>
      <w:sz w:val="56"/>
      <w:szCs w:val="56"/>
    </w:rPr>
  </w:style>
  <w:style w:type="character" w:customStyle="1" w:styleId="Heading1Char">
    <w:name w:val="Heading 1 Char"/>
    <w:basedOn w:val="DefaultParagraphFont"/>
    <w:link w:val="Heading1"/>
    <w:uiPriority w:val="9"/>
    <w:rsid w:val="003E7AE2"/>
    <w:rPr>
      <w:rFonts w:ascii="Arial" w:eastAsiaTheme="majorEastAsia" w:hAnsi="Arial" w:cstheme="majorBidi"/>
      <w:b/>
      <w:color w:val="2E74B5" w:themeColor="accent1" w:themeShade="BF"/>
      <w:sz w:val="32"/>
      <w:szCs w:val="32"/>
    </w:rPr>
  </w:style>
  <w:style w:type="paragraph" w:styleId="TOCHeading">
    <w:name w:val="TOC Heading"/>
    <w:basedOn w:val="Heading1"/>
    <w:next w:val="Normal"/>
    <w:uiPriority w:val="39"/>
    <w:unhideWhenUsed/>
    <w:qFormat/>
    <w:rsid w:val="00653B13"/>
    <w:pPr>
      <w:spacing w:line="259" w:lineRule="auto"/>
      <w:outlineLvl w:val="9"/>
    </w:pPr>
    <w:rPr>
      <w:rFonts w:asciiTheme="majorHAnsi" w:hAnsiTheme="majorHAnsi"/>
      <w:b w:val="0"/>
      <w:lang w:val="en-US"/>
    </w:rPr>
  </w:style>
  <w:style w:type="paragraph" w:styleId="TOC1">
    <w:name w:val="toc 1"/>
    <w:basedOn w:val="Normal"/>
    <w:next w:val="Normal"/>
    <w:autoRedefine/>
    <w:uiPriority w:val="39"/>
    <w:unhideWhenUsed/>
    <w:rsid w:val="00653B13"/>
    <w:pPr>
      <w:spacing w:after="100"/>
    </w:pPr>
  </w:style>
  <w:style w:type="character" w:styleId="Hyperlink">
    <w:name w:val="Hyperlink"/>
    <w:basedOn w:val="DefaultParagraphFont"/>
    <w:uiPriority w:val="99"/>
    <w:unhideWhenUsed/>
    <w:rsid w:val="00653B13"/>
    <w:rPr>
      <w:color w:val="0563C1" w:themeColor="hyperlink"/>
      <w:u w:val="single"/>
    </w:rPr>
  </w:style>
  <w:style w:type="character" w:customStyle="1" w:styleId="Heading2Char">
    <w:name w:val="Heading 2 Char"/>
    <w:basedOn w:val="DefaultParagraphFont"/>
    <w:link w:val="Heading2"/>
    <w:uiPriority w:val="9"/>
    <w:rsid w:val="00C86A70"/>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C86A70"/>
    <w:rPr>
      <w:color w:val="605E5C"/>
      <w:shd w:val="clear" w:color="auto" w:fill="E1DFDD"/>
    </w:rPr>
  </w:style>
  <w:style w:type="paragraph" w:styleId="TOC2">
    <w:name w:val="toc 2"/>
    <w:basedOn w:val="Normal"/>
    <w:next w:val="Normal"/>
    <w:autoRedefine/>
    <w:uiPriority w:val="39"/>
    <w:unhideWhenUsed/>
    <w:rsid w:val="001C089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3641/asha.33106922." TargetMode="External"/><Relationship Id="rId18" Type="http://schemas.openxmlformats.org/officeDocument/2006/relationships/hyperlink" Target="https://libkey.io/10.1007/s00455-026-10971-2" TargetMode="External"/><Relationship Id="rId26" Type="http://schemas.openxmlformats.org/officeDocument/2006/relationships/hyperlink" Target="https://libkey.io/10.1007/s00405-026-10484-6" TargetMode="External"/><Relationship Id="rId3" Type="http://schemas.openxmlformats.org/officeDocument/2006/relationships/styles" Target="styles.xml"/><Relationship Id="rId21" Type="http://schemas.openxmlformats.org/officeDocument/2006/relationships/hyperlink" Target="https://libkey.io/10.1016/j.apmr.2026.07.013" TargetMode="External"/><Relationship Id="rId7" Type="http://schemas.openxmlformats.org/officeDocument/2006/relationships/hyperlink" Target="https://doi.org/10.23641/asha.33023660." TargetMode="External"/><Relationship Id="rId12" Type="http://schemas.openxmlformats.org/officeDocument/2006/relationships/hyperlink" Target="https://libkey.io/10.1016/j.apmr.2026.07.002" TargetMode="External"/><Relationship Id="rId17" Type="http://schemas.openxmlformats.org/officeDocument/2006/relationships/hyperlink" Target="https://libkey.io/10.1007/s00455-026-10965-0" TargetMode="External"/><Relationship Id="rId25" Type="http://schemas.openxmlformats.org/officeDocument/2006/relationships/hyperlink" Target="https://openathens.nice.org.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bkey.io/10.1007/s00702-026-03195-z" TargetMode="External"/><Relationship Id="rId20" Type="http://schemas.openxmlformats.org/officeDocument/2006/relationships/hyperlink" Target="https://libkey.io/10.1007/s00405-026-10531-2" TargetMode="External"/><Relationship Id="rId29" Type="http://schemas.openxmlformats.org/officeDocument/2006/relationships/hyperlink" Target="https://openathens.nice.org.uk/" TargetMode="External"/><Relationship Id="rId1" Type="http://schemas.openxmlformats.org/officeDocument/2006/relationships/customXml" Target="../customXml/item1.xml"/><Relationship Id="rId6" Type="http://schemas.openxmlformats.org/officeDocument/2006/relationships/hyperlink" Target="https://gbr01.safelinks.protection.outlook.com/?url=https%3A%2F%2Fforms.office.com%2Fe%2FHyiSXfDaYV&amp;data=05%7C02%7Cruh-tr.library%40nhs.net%7C2f379cb5e2a347cb023108dd49c9e10f%7C37c354b285b047f5b22207b48d774ee3%7C0%7C0%7C638747853900222040%7CUnknown%7CTWFpbGZsb3d8eyJFbXB0eU1hcGkiOnRydWUsIlYiOiIwLjAuMDAwMCIsIlAiOiJXaW4zMiIsIkFOIjoiTWFpbCIsIldUIjoyfQ%3D%3D%7C0%7C%7C%7C&amp;sdata=vRCRUTP%2BTxSNmofg6hSXz9C9tXw13XOj3jvNGgToK3U%3D&amp;reserved=0" TargetMode="External"/><Relationship Id="rId11" Type="http://schemas.openxmlformats.org/officeDocument/2006/relationships/hyperlink" Target="https://libkey.io/10.1080/02687038.2026.2671291" TargetMode="External"/><Relationship Id="rId24" Type="http://schemas.openxmlformats.org/officeDocument/2006/relationships/hyperlink" Target="https://libkey.io/10.1007/s11282-026-00959-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penathens.nice.org.uk/" TargetMode="External"/><Relationship Id="rId23" Type="http://schemas.openxmlformats.org/officeDocument/2006/relationships/hyperlink" Target="https://libkey.io/10.1002/lary.70835" TargetMode="External"/><Relationship Id="rId28" Type="http://schemas.openxmlformats.org/officeDocument/2006/relationships/hyperlink" Target="https://libkey.io/10.1159/fpl/acvag004" TargetMode="External"/><Relationship Id="rId10" Type="http://schemas.openxmlformats.org/officeDocument/2006/relationships/hyperlink" Target="https://libkey.io/10.1044/2026_AJSLP-25-00435" TargetMode="External"/><Relationship Id="rId19" Type="http://schemas.openxmlformats.org/officeDocument/2006/relationships/hyperlink" Target="https://libkey.io/10.1002/hed.70407" TargetMode="External"/><Relationship Id="rId31" Type="http://schemas.openxmlformats.org/officeDocument/2006/relationships/hyperlink" Target="https://openathens.nice.org.uk/" TargetMode="External"/><Relationship Id="rId4" Type="http://schemas.openxmlformats.org/officeDocument/2006/relationships/settings" Target="settings.xml"/><Relationship Id="rId9" Type="http://schemas.openxmlformats.org/officeDocument/2006/relationships/hyperlink" Target="https://doi.org/10.23641/asha.33230481." TargetMode="External"/><Relationship Id="rId14" Type="http://schemas.openxmlformats.org/officeDocument/2006/relationships/hyperlink" Target="https://libkey.io/10.1044/2026_AJSLP-25-00431" TargetMode="External"/><Relationship Id="rId22" Type="http://schemas.openxmlformats.org/officeDocument/2006/relationships/hyperlink" Target="https://openathens.nice.org.uk/" TargetMode="External"/><Relationship Id="rId27" Type="http://schemas.openxmlformats.org/officeDocument/2006/relationships/hyperlink" Target="https://libkey.io/10.1016/j.jamda.2026.106431" TargetMode="External"/><Relationship Id="rId30" Type="http://schemas.openxmlformats.org/officeDocument/2006/relationships/hyperlink" Target="https://libkey.io/10.1177/17474930261483951" TargetMode="External"/><Relationship Id="rId8" Type="http://schemas.openxmlformats.org/officeDocument/2006/relationships/hyperlink" Target="https://libkey.io/10.1044/2026_AJSLP-25-006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D07BE-8FC7-403F-A72B-33177A948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Pages>
  <Words>6656</Words>
  <Characters>37944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Royal United Hospital Bath NHS Trust</Company>
  <LinksUpToDate>false</LinksUpToDate>
  <CharactersWithSpaces>44511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Garces-Bovett, Camila</dc:creator>
  <cp:keywords/>
  <dc:description/>
  <cp:lastModifiedBy>GARCES-BOVETT, Camila (BSW HOSPITALS GROUP - RUH)</cp:lastModifiedBy>
  <cp:revision>5</cp:revision>
  <dcterms:created xsi:type="dcterms:W3CDTF">2026-09-02T15:37:00Z</dcterms:created>
  <dcterms:modified xsi:type="dcterms:W3CDTF">2026-09-04T12:00:00Z</dcterms:modified>
</cp:coreProperties>
</file>