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4EE4D" w14:textId="4AAEDC91" w:rsidR="00D67C1F" w:rsidRDefault="00DD6D1E" w:rsidP="00DD6D1E">
      <w:pPr>
        <w:pStyle w:val="Title"/>
      </w:pPr>
      <w:r>
        <w:t>RUH</w:t>
      </w:r>
      <w:r w:rsidR="00C3303F">
        <w:t xml:space="preserve"> bulletin:</w:t>
      </w:r>
      <w:r>
        <w:t xml:space="preserve"> </w:t>
      </w:r>
      <w:r w:rsidR="003E7AE2">
        <w:t xml:space="preserve">Adult </w:t>
      </w:r>
      <w:r w:rsidR="00C3303F">
        <w:t>d</w:t>
      </w:r>
      <w:r w:rsidR="003E7AE2">
        <w:t>ysphagia</w:t>
      </w:r>
      <w:r w:rsidR="00597049">
        <w:t xml:space="preserve"> </w:t>
      </w:r>
      <w:r w:rsidR="00B60576">
        <w:t>and other topics</w:t>
      </w:r>
      <w:r>
        <w:t xml:space="preserve">: </w:t>
      </w:r>
      <w:r w:rsidR="00887A97">
        <w:t>October</w:t>
      </w:r>
      <w:r>
        <w:t xml:space="preserve"> 202</w:t>
      </w:r>
      <w:r w:rsidR="00E62DDC">
        <w:t>6</w:t>
      </w:r>
    </w:p>
    <w:p w14:paraId="1F874E56" w14:textId="77777777" w:rsidR="00056247" w:rsidRDefault="00056247" w:rsidP="00056247"/>
    <w:p w14:paraId="78FA99AB" w14:textId="77777777" w:rsidR="00056247" w:rsidRPr="00C76319" w:rsidRDefault="00056247" w:rsidP="00056247">
      <w:pPr>
        <w:rPr>
          <w:rFonts w:eastAsia="Calibri"/>
          <w:b/>
        </w:rPr>
      </w:pPr>
      <w:r w:rsidRPr="00C76319">
        <w:rPr>
          <w:rFonts w:eastAsia="Calibri"/>
          <w:b/>
          <w:color w:val="4472C4" w:themeColor="accent5"/>
          <w:sz w:val="28"/>
          <w:szCs w:val="24"/>
        </w:rPr>
        <w:t>New training via MS Teams available from the Academy Library:</w:t>
      </w:r>
      <w:r w:rsidRPr="00C76319">
        <w:rPr>
          <w:rFonts w:eastAsia="Calibri"/>
          <w:b/>
          <w:color w:val="4472C4" w:themeColor="accent5"/>
          <w:sz w:val="28"/>
          <w:szCs w:val="24"/>
        </w:rPr>
        <w:br/>
      </w:r>
    </w:p>
    <w:p w14:paraId="40E6339A" w14:textId="77777777" w:rsidR="00056247" w:rsidRPr="00422BAA" w:rsidRDefault="00056247" w:rsidP="00056247">
      <w:pPr>
        <w:numPr>
          <w:ilvl w:val="0"/>
          <w:numId w:val="1"/>
        </w:numPr>
        <w:spacing w:before="80" w:after="80"/>
        <w:rPr>
          <w:szCs w:val="24"/>
        </w:rPr>
      </w:pPr>
      <w:r w:rsidRPr="00422BAA">
        <w:rPr>
          <w:b/>
          <w:szCs w:val="24"/>
        </w:rPr>
        <w:t>Bitesize searching databases for evidence: a quick guide to help you develop your literature searching skills</w:t>
      </w:r>
      <w:r w:rsidRPr="00422BAA">
        <w:rPr>
          <w:szCs w:val="24"/>
        </w:rPr>
        <w:br/>
        <w:t>45 minutes. Learn how to transform a question into a search strategy, and how to find the best evidence in a database.</w:t>
      </w:r>
    </w:p>
    <w:p w14:paraId="5A5665CC" w14:textId="77777777" w:rsidR="00056247" w:rsidRPr="00BE19F2" w:rsidRDefault="00056247" w:rsidP="00056247">
      <w:pPr>
        <w:spacing w:before="80" w:after="80"/>
        <w:ind w:left="720"/>
        <w:contextualSpacing/>
        <w:rPr>
          <w:b/>
          <w:bCs/>
          <w:color w:val="C00000"/>
          <w:szCs w:val="24"/>
        </w:rPr>
      </w:pPr>
      <w:r w:rsidRPr="00BE19F2">
        <w:rPr>
          <w:b/>
          <w:color w:val="C00000"/>
          <w:szCs w:val="24"/>
        </w:rPr>
        <w:t xml:space="preserve">Next sessions: </w:t>
      </w:r>
      <w:r>
        <w:rPr>
          <w:b/>
          <w:color w:val="C00000"/>
          <w:szCs w:val="24"/>
        </w:rPr>
        <w:t>12</w:t>
      </w:r>
      <w:r w:rsidRPr="006F6D0F">
        <w:rPr>
          <w:b/>
          <w:color w:val="C00000"/>
          <w:szCs w:val="24"/>
          <w:vertAlign w:val="superscript"/>
        </w:rPr>
        <w:t>th</w:t>
      </w:r>
      <w:r>
        <w:rPr>
          <w:b/>
          <w:color w:val="C00000"/>
          <w:szCs w:val="24"/>
        </w:rPr>
        <w:t xml:space="preserve"> November @ 4pm and 18</w:t>
      </w:r>
      <w:r w:rsidRPr="006F6D0F">
        <w:rPr>
          <w:b/>
          <w:color w:val="C00000"/>
          <w:szCs w:val="24"/>
          <w:vertAlign w:val="superscript"/>
        </w:rPr>
        <w:t>th</w:t>
      </w:r>
      <w:r>
        <w:rPr>
          <w:b/>
          <w:color w:val="C00000"/>
          <w:szCs w:val="24"/>
        </w:rPr>
        <w:t xml:space="preserve"> December @ 9am</w:t>
      </w:r>
    </w:p>
    <w:p w14:paraId="3F8C2E8F" w14:textId="77777777" w:rsidR="00056247" w:rsidRPr="00422BAA" w:rsidRDefault="00056247" w:rsidP="00056247">
      <w:pPr>
        <w:spacing w:before="80" w:after="80"/>
        <w:ind w:left="720"/>
        <w:contextualSpacing/>
        <w:rPr>
          <w:color w:val="FF0000"/>
          <w:szCs w:val="24"/>
        </w:rPr>
      </w:pPr>
    </w:p>
    <w:p w14:paraId="7FE2E98E" w14:textId="77777777" w:rsidR="00056247" w:rsidRPr="00422BAA" w:rsidRDefault="00056247" w:rsidP="00056247">
      <w:pPr>
        <w:numPr>
          <w:ilvl w:val="0"/>
          <w:numId w:val="1"/>
        </w:numPr>
        <w:spacing w:before="80" w:after="80"/>
        <w:rPr>
          <w:szCs w:val="24"/>
        </w:rPr>
      </w:pPr>
      <w:r w:rsidRPr="00422BAA">
        <w:rPr>
          <w:b/>
          <w:szCs w:val="24"/>
        </w:rPr>
        <w:t>Simple and painless evidence into practice (BMJ Best Practice and the LKS Hub)</w:t>
      </w:r>
      <w:r w:rsidRPr="00422BAA">
        <w:rPr>
          <w:szCs w:val="24"/>
        </w:rPr>
        <w:br/>
        <w:t>30 minutes. Learn about quick and hassle-free ways to seamlessly incorporate evidence into your daily work.</w:t>
      </w:r>
    </w:p>
    <w:p w14:paraId="3F26E2F9" w14:textId="77777777" w:rsidR="00056247" w:rsidRPr="00BE19F2" w:rsidRDefault="00056247" w:rsidP="00056247">
      <w:pPr>
        <w:spacing w:before="80" w:after="80"/>
        <w:ind w:left="720"/>
        <w:contextualSpacing/>
        <w:rPr>
          <w:b/>
          <w:bCs/>
          <w:color w:val="C00000"/>
          <w:szCs w:val="24"/>
        </w:rPr>
      </w:pPr>
      <w:r w:rsidRPr="00BE19F2">
        <w:rPr>
          <w:b/>
          <w:color w:val="C00000"/>
          <w:szCs w:val="24"/>
        </w:rPr>
        <w:t>Next sessions: 29</w:t>
      </w:r>
      <w:r w:rsidRPr="00BE19F2">
        <w:rPr>
          <w:b/>
          <w:color w:val="C00000"/>
          <w:szCs w:val="24"/>
          <w:vertAlign w:val="superscript"/>
        </w:rPr>
        <w:t>th</w:t>
      </w:r>
      <w:r w:rsidRPr="00BE19F2">
        <w:rPr>
          <w:b/>
          <w:color w:val="C00000"/>
          <w:szCs w:val="24"/>
        </w:rPr>
        <w:t xml:space="preserve"> October @ 11am</w:t>
      </w:r>
      <w:r>
        <w:rPr>
          <w:b/>
          <w:color w:val="C00000"/>
          <w:szCs w:val="24"/>
        </w:rPr>
        <w:t xml:space="preserve"> and 6</w:t>
      </w:r>
      <w:r w:rsidRPr="006F6D0F">
        <w:rPr>
          <w:b/>
          <w:color w:val="C00000"/>
          <w:szCs w:val="24"/>
          <w:vertAlign w:val="superscript"/>
        </w:rPr>
        <w:t>th</w:t>
      </w:r>
      <w:r>
        <w:rPr>
          <w:b/>
          <w:color w:val="C00000"/>
          <w:szCs w:val="24"/>
        </w:rPr>
        <w:t xml:space="preserve"> November @ 12 noon.</w:t>
      </w:r>
    </w:p>
    <w:p w14:paraId="51DE43FF" w14:textId="77777777" w:rsidR="00056247" w:rsidRPr="00422BAA" w:rsidRDefault="00056247" w:rsidP="00056247">
      <w:pPr>
        <w:spacing w:before="80" w:after="80"/>
        <w:ind w:left="720"/>
        <w:contextualSpacing/>
        <w:rPr>
          <w:szCs w:val="24"/>
        </w:rPr>
      </w:pPr>
    </w:p>
    <w:p w14:paraId="56E369CC" w14:textId="77777777" w:rsidR="00056247" w:rsidRPr="00422BAA" w:rsidRDefault="00056247" w:rsidP="00056247">
      <w:pPr>
        <w:numPr>
          <w:ilvl w:val="0"/>
          <w:numId w:val="1"/>
        </w:numPr>
        <w:spacing w:before="80" w:after="80"/>
        <w:rPr>
          <w:szCs w:val="24"/>
        </w:rPr>
      </w:pPr>
      <w:r w:rsidRPr="00FD5A86">
        <w:rPr>
          <w:b/>
          <w:szCs w:val="24"/>
        </w:rPr>
        <w:t>Quickfire health literacy: communicating with patients more effectively</w:t>
      </w:r>
      <w:r w:rsidRPr="00422BAA">
        <w:rPr>
          <w:szCs w:val="24"/>
        </w:rPr>
        <w:br/>
        <w:t>30 minutes. Learn about the communication barriers patients may encounter, and ways to ensure they get the most from their care.</w:t>
      </w:r>
    </w:p>
    <w:p w14:paraId="6D5EA0FB" w14:textId="77777777" w:rsidR="00056247" w:rsidRPr="00BE19F2" w:rsidRDefault="00056247" w:rsidP="00056247">
      <w:pPr>
        <w:spacing w:before="80" w:after="80"/>
        <w:ind w:left="720"/>
        <w:rPr>
          <w:b/>
          <w:bCs/>
          <w:color w:val="C00000"/>
          <w:szCs w:val="24"/>
        </w:rPr>
      </w:pPr>
      <w:r w:rsidRPr="00BE19F2">
        <w:rPr>
          <w:b/>
          <w:color w:val="C00000"/>
          <w:szCs w:val="24"/>
        </w:rPr>
        <w:t>Next sessions: 25</w:t>
      </w:r>
      <w:r w:rsidRPr="00BE19F2">
        <w:rPr>
          <w:b/>
          <w:color w:val="C00000"/>
          <w:szCs w:val="24"/>
          <w:vertAlign w:val="superscript"/>
        </w:rPr>
        <w:t>th</w:t>
      </w:r>
      <w:r w:rsidRPr="00BE19F2">
        <w:rPr>
          <w:b/>
          <w:color w:val="C00000"/>
          <w:szCs w:val="24"/>
        </w:rPr>
        <w:t xml:space="preserve"> November @ 4pm</w:t>
      </w:r>
      <w:r>
        <w:rPr>
          <w:b/>
          <w:color w:val="C00000"/>
          <w:szCs w:val="24"/>
        </w:rPr>
        <w:t xml:space="preserve"> and 3</w:t>
      </w:r>
      <w:r w:rsidRPr="006F6D0F">
        <w:rPr>
          <w:b/>
          <w:color w:val="C00000"/>
          <w:szCs w:val="24"/>
          <w:vertAlign w:val="superscript"/>
        </w:rPr>
        <w:t>rd</w:t>
      </w:r>
      <w:r>
        <w:rPr>
          <w:b/>
          <w:color w:val="C00000"/>
          <w:szCs w:val="24"/>
        </w:rPr>
        <w:t xml:space="preserve"> December @ 9am.</w:t>
      </w:r>
    </w:p>
    <w:p w14:paraId="6252B046" w14:textId="77777777" w:rsidR="00056247" w:rsidRPr="00C76319" w:rsidRDefault="00056247" w:rsidP="00056247">
      <w:pPr>
        <w:rPr>
          <w:rFonts w:eastAsia="Calibri"/>
          <w:b/>
          <w:bCs/>
        </w:rPr>
      </w:pPr>
    </w:p>
    <w:p w14:paraId="19414745" w14:textId="77777777" w:rsidR="00056247" w:rsidRPr="00C76319" w:rsidRDefault="00056247" w:rsidP="00056247">
      <w:pPr>
        <w:pBdr>
          <w:bottom w:val="single" w:sz="6" w:space="1" w:color="auto"/>
        </w:pBdr>
        <w:rPr>
          <w:rFonts w:eastAsia="Calibri"/>
        </w:rPr>
      </w:pPr>
      <w:r w:rsidRPr="00C76319">
        <w:rPr>
          <w:rFonts w:eastAsia="Calibri"/>
        </w:rPr>
        <w:t xml:space="preserve">Book a session today at </w:t>
      </w:r>
      <w:hyperlink r:id="rId6" w:history="1">
        <w:r w:rsidRPr="00C76319">
          <w:rPr>
            <w:rFonts w:eastAsia="Calibri"/>
            <w:color w:val="0563C1" w:themeColor="hyperlink"/>
            <w:u w:val="single"/>
          </w:rPr>
          <w:t>https://forms.office.com/e/HyiSXfDaYV</w:t>
        </w:r>
      </w:hyperlink>
      <w:r w:rsidRPr="00C76319">
        <w:rPr>
          <w:rFonts w:eastAsia="Calibri"/>
        </w:rPr>
        <w:t xml:space="preserve"> (sessions held every month)</w:t>
      </w:r>
      <w:r>
        <w:rPr>
          <w:rFonts w:eastAsia="Calibri"/>
        </w:rPr>
        <w:br/>
      </w:r>
    </w:p>
    <w:sdt>
      <w:sdtPr>
        <w:rPr>
          <w:rFonts w:ascii="Arial" w:eastAsiaTheme="minorHAnsi" w:hAnsi="Arial" w:cs="Calibri"/>
          <w:color w:val="auto"/>
          <w:sz w:val="24"/>
          <w:szCs w:val="22"/>
          <w:lang w:val="en-GB"/>
        </w:rPr>
        <w:id w:val="284322532"/>
        <w:docPartObj>
          <w:docPartGallery w:val="Table of Contents"/>
          <w:docPartUnique/>
        </w:docPartObj>
      </w:sdtPr>
      <w:sdtEndPr>
        <w:rPr>
          <w:b/>
          <w:bCs/>
          <w:noProof/>
        </w:rPr>
      </w:sdtEndPr>
      <w:sdtContent>
        <w:p w14:paraId="45F04D86" w14:textId="77777777" w:rsidR="00653B13" w:rsidRDefault="00653B13">
          <w:pPr>
            <w:pStyle w:val="TOCHeading"/>
          </w:pPr>
          <w:r>
            <w:t>Contents</w:t>
          </w:r>
        </w:p>
        <w:p w14:paraId="4C0A5287" w14:textId="7826ADC6" w:rsidR="0002737E" w:rsidRDefault="00653B13">
          <w:pPr>
            <w:pStyle w:val="TOC1"/>
            <w:tabs>
              <w:tab w:val="right" w:leader="dot" w:pos="9016"/>
            </w:tabs>
            <w:rPr>
              <w:rFonts w:asciiTheme="minorHAnsi" w:eastAsiaTheme="minorEastAsia" w:hAnsiTheme="minorHAnsi" w:cstheme="minorBidi"/>
              <w:noProof/>
              <w:kern w:val="2"/>
              <w:szCs w:val="24"/>
              <w:lang w:eastAsia="en-GB"/>
              <w14:ligatures w14:val="standardContextual"/>
            </w:rPr>
          </w:pPr>
          <w:r>
            <w:fldChar w:fldCharType="begin"/>
          </w:r>
          <w:r>
            <w:instrText xml:space="preserve"> TOC \o "1-3" \h \z \u </w:instrText>
          </w:r>
          <w:r>
            <w:fldChar w:fldCharType="separate"/>
          </w:r>
          <w:hyperlink w:anchor="_Toc242972419" w:history="1">
            <w:r w:rsidR="0002737E" w:rsidRPr="00D11EAB">
              <w:rPr>
                <w:rStyle w:val="Hyperlink"/>
                <w:noProof/>
              </w:rPr>
              <w:t>Aphasia</w:t>
            </w:r>
            <w:r w:rsidR="0002737E">
              <w:rPr>
                <w:noProof/>
                <w:webHidden/>
              </w:rPr>
              <w:tab/>
            </w:r>
            <w:r w:rsidR="0002737E">
              <w:rPr>
                <w:noProof/>
                <w:webHidden/>
              </w:rPr>
              <w:fldChar w:fldCharType="begin"/>
            </w:r>
            <w:r w:rsidR="0002737E">
              <w:rPr>
                <w:noProof/>
                <w:webHidden/>
              </w:rPr>
              <w:instrText xml:space="preserve"> PAGEREF _Toc242972419 \h </w:instrText>
            </w:r>
            <w:r w:rsidR="0002737E">
              <w:rPr>
                <w:noProof/>
                <w:webHidden/>
              </w:rPr>
            </w:r>
            <w:r w:rsidR="0002737E">
              <w:rPr>
                <w:noProof/>
                <w:webHidden/>
              </w:rPr>
              <w:fldChar w:fldCharType="separate"/>
            </w:r>
            <w:r w:rsidR="0005114C">
              <w:rPr>
                <w:noProof/>
                <w:webHidden/>
              </w:rPr>
              <w:t>1</w:t>
            </w:r>
            <w:r w:rsidR="0002737E">
              <w:rPr>
                <w:noProof/>
                <w:webHidden/>
              </w:rPr>
              <w:fldChar w:fldCharType="end"/>
            </w:r>
          </w:hyperlink>
        </w:p>
        <w:p w14:paraId="430CE1A8" w14:textId="18002217" w:rsidR="0002737E" w:rsidRDefault="0002737E">
          <w:pPr>
            <w:pStyle w:val="TOC1"/>
            <w:tabs>
              <w:tab w:val="right" w:leader="dot" w:pos="9016"/>
            </w:tabs>
            <w:rPr>
              <w:rFonts w:asciiTheme="minorHAnsi" w:eastAsiaTheme="minorEastAsia" w:hAnsiTheme="minorHAnsi" w:cstheme="minorBidi"/>
              <w:noProof/>
              <w:kern w:val="2"/>
              <w:szCs w:val="24"/>
              <w:lang w:eastAsia="en-GB"/>
              <w14:ligatures w14:val="standardContextual"/>
            </w:rPr>
          </w:pPr>
          <w:hyperlink w:anchor="_Toc242972420" w:history="1">
            <w:r w:rsidRPr="00D11EAB">
              <w:rPr>
                <w:rStyle w:val="Hyperlink"/>
                <w:noProof/>
              </w:rPr>
              <w:t>Dysarthria</w:t>
            </w:r>
            <w:r>
              <w:rPr>
                <w:noProof/>
                <w:webHidden/>
              </w:rPr>
              <w:tab/>
            </w:r>
            <w:r>
              <w:rPr>
                <w:noProof/>
                <w:webHidden/>
              </w:rPr>
              <w:fldChar w:fldCharType="begin"/>
            </w:r>
            <w:r>
              <w:rPr>
                <w:noProof/>
                <w:webHidden/>
              </w:rPr>
              <w:instrText xml:space="preserve"> PAGEREF _Toc242972420 \h </w:instrText>
            </w:r>
            <w:r>
              <w:rPr>
                <w:noProof/>
                <w:webHidden/>
              </w:rPr>
            </w:r>
            <w:r>
              <w:rPr>
                <w:noProof/>
                <w:webHidden/>
              </w:rPr>
              <w:fldChar w:fldCharType="separate"/>
            </w:r>
            <w:r w:rsidR="0005114C">
              <w:rPr>
                <w:noProof/>
                <w:webHidden/>
              </w:rPr>
              <w:t>15</w:t>
            </w:r>
            <w:r>
              <w:rPr>
                <w:noProof/>
                <w:webHidden/>
              </w:rPr>
              <w:fldChar w:fldCharType="end"/>
            </w:r>
          </w:hyperlink>
        </w:p>
        <w:p w14:paraId="6039B0FD" w14:textId="6D161906" w:rsidR="0002737E" w:rsidRDefault="0002737E">
          <w:pPr>
            <w:pStyle w:val="TOC1"/>
            <w:tabs>
              <w:tab w:val="right" w:leader="dot" w:pos="9016"/>
            </w:tabs>
            <w:rPr>
              <w:rFonts w:asciiTheme="minorHAnsi" w:eastAsiaTheme="minorEastAsia" w:hAnsiTheme="minorHAnsi" w:cstheme="minorBidi"/>
              <w:noProof/>
              <w:kern w:val="2"/>
              <w:szCs w:val="24"/>
              <w:lang w:eastAsia="en-GB"/>
              <w14:ligatures w14:val="standardContextual"/>
            </w:rPr>
          </w:pPr>
          <w:hyperlink w:anchor="_Toc242972421" w:history="1">
            <w:r w:rsidRPr="00D11EAB">
              <w:rPr>
                <w:rStyle w:val="Hyperlink"/>
                <w:noProof/>
              </w:rPr>
              <w:t>Dysphagia</w:t>
            </w:r>
            <w:r>
              <w:rPr>
                <w:noProof/>
                <w:webHidden/>
              </w:rPr>
              <w:tab/>
            </w:r>
            <w:r>
              <w:rPr>
                <w:noProof/>
                <w:webHidden/>
              </w:rPr>
              <w:fldChar w:fldCharType="begin"/>
            </w:r>
            <w:r>
              <w:rPr>
                <w:noProof/>
                <w:webHidden/>
              </w:rPr>
              <w:instrText xml:space="preserve"> PAGEREF _Toc242972421 \h </w:instrText>
            </w:r>
            <w:r>
              <w:rPr>
                <w:noProof/>
                <w:webHidden/>
              </w:rPr>
            </w:r>
            <w:r>
              <w:rPr>
                <w:noProof/>
                <w:webHidden/>
              </w:rPr>
              <w:fldChar w:fldCharType="separate"/>
            </w:r>
            <w:r w:rsidR="0005114C">
              <w:rPr>
                <w:noProof/>
                <w:webHidden/>
              </w:rPr>
              <w:t>17</w:t>
            </w:r>
            <w:r>
              <w:rPr>
                <w:noProof/>
                <w:webHidden/>
              </w:rPr>
              <w:fldChar w:fldCharType="end"/>
            </w:r>
          </w:hyperlink>
        </w:p>
        <w:p w14:paraId="2047B447" w14:textId="778B6275" w:rsidR="0002737E" w:rsidRDefault="0002737E">
          <w:pPr>
            <w:pStyle w:val="TOC1"/>
            <w:tabs>
              <w:tab w:val="right" w:leader="dot" w:pos="9016"/>
            </w:tabs>
            <w:rPr>
              <w:rFonts w:asciiTheme="minorHAnsi" w:eastAsiaTheme="minorEastAsia" w:hAnsiTheme="minorHAnsi" w:cstheme="minorBidi"/>
              <w:noProof/>
              <w:kern w:val="2"/>
              <w:szCs w:val="24"/>
              <w:lang w:eastAsia="en-GB"/>
              <w14:ligatures w14:val="standardContextual"/>
            </w:rPr>
          </w:pPr>
          <w:hyperlink w:anchor="_Toc242972422" w:history="1">
            <w:r w:rsidRPr="00D11EAB">
              <w:rPr>
                <w:rStyle w:val="Hyperlink"/>
                <w:noProof/>
              </w:rPr>
              <w:t>Videofluoroscopy</w:t>
            </w:r>
            <w:r>
              <w:rPr>
                <w:noProof/>
                <w:webHidden/>
              </w:rPr>
              <w:tab/>
            </w:r>
            <w:r>
              <w:rPr>
                <w:noProof/>
                <w:webHidden/>
              </w:rPr>
              <w:fldChar w:fldCharType="begin"/>
            </w:r>
            <w:r>
              <w:rPr>
                <w:noProof/>
                <w:webHidden/>
              </w:rPr>
              <w:instrText xml:space="preserve"> PAGEREF _Toc242972422 \h </w:instrText>
            </w:r>
            <w:r>
              <w:rPr>
                <w:noProof/>
                <w:webHidden/>
              </w:rPr>
            </w:r>
            <w:r>
              <w:rPr>
                <w:noProof/>
                <w:webHidden/>
              </w:rPr>
              <w:fldChar w:fldCharType="separate"/>
            </w:r>
            <w:r w:rsidR="0005114C">
              <w:rPr>
                <w:noProof/>
                <w:webHidden/>
              </w:rPr>
              <w:t>27</w:t>
            </w:r>
            <w:r>
              <w:rPr>
                <w:noProof/>
                <w:webHidden/>
              </w:rPr>
              <w:fldChar w:fldCharType="end"/>
            </w:r>
          </w:hyperlink>
        </w:p>
        <w:p w14:paraId="79DBBD83" w14:textId="08784D11" w:rsidR="0002737E" w:rsidRDefault="0002737E">
          <w:pPr>
            <w:pStyle w:val="TOC1"/>
            <w:tabs>
              <w:tab w:val="right" w:leader="dot" w:pos="9016"/>
            </w:tabs>
            <w:rPr>
              <w:rFonts w:asciiTheme="minorHAnsi" w:eastAsiaTheme="minorEastAsia" w:hAnsiTheme="minorHAnsi" w:cstheme="minorBidi"/>
              <w:noProof/>
              <w:kern w:val="2"/>
              <w:szCs w:val="24"/>
              <w:lang w:eastAsia="en-GB"/>
              <w14:ligatures w14:val="standardContextual"/>
            </w:rPr>
          </w:pPr>
          <w:hyperlink w:anchor="_Toc242972423" w:history="1">
            <w:r w:rsidRPr="00D11EAB">
              <w:rPr>
                <w:rStyle w:val="Hyperlink"/>
                <w:noProof/>
              </w:rPr>
              <w:t>FEES</w:t>
            </w:r>
            <w:r>
              <w:rPr>
                <w:noProof/>
                <w:webHidden/>
              </w:rPr>
              <w:tab/>
            </w:r>
            <w:r>
              <w:rPr>
                <w:noProof/>
                <w:webHidden/>
              </w:rPr>
              <w:fldChar w:fldCharType="begin"/>
            </w:r>
            <w:r>
              <w:rPr>
                <w:noProof/>
                <w:webHidden/>
              </w:rPr>
              <w:instrText xml:space="preserve"> PAGEREF _Toc242972423 \h </w:instrText>
            </w:r>
            <w:r>
              <w:rPr>
                <w:noProof/>
                <w:webHidden/>
              </w:rPr>
            </w:r>
            <w:r>
              <w:rPr>
                <w:noProof/>
                <w:webHidden/>
              </w:rPr>
              <w:fldChar w:fldCharType="separate"/>
            </w:r>
            <w:r w:rsidR="0005114C">
              <w:rPr>
                <w:noProof/>
                <w:webHidden/>
              </w:rPr>
              <w:t>28</w:t>
            </w:r>
            <w:r>
              <w:rPr>
                <w:noProof/>
                <w:webHidden/>
              </w:rPr>
              <w:fldChar w:fldCharType="end"/>
            </w:r>
          </w:hyperlink>
        </w:p>
        <w:p w14:paraId="7E0253DB" w14:textId="2B6A01DE" w:rsidR="0002737E" w:rsidRDefault="0002737E">
          <w:pPr>
            <w:pStyle w:val="TOC1"/>
            <w:tabs>
              <w:tab w:val="right" w:leader="dot" w:pos="9016"/>
            </w:tabs>
            <w:rPr>
              <w:rFonts w:asciiTheme="minorHAnsi" w:eastAsiaTheme="minorEastAsia" w:hAnsiTheme="minorHAnsi" w:cstheme="minorBidi"/>
              <w:noProof/>
              <w:kern w:val="2"/>
              <w:szCs w:val="24"/>
              <w:lang w:eastAsia="en-GB"/>
              <w14:ligatures w14:val="standardContextual"/>
            </w:rPr>
          </w:pPr>
          <w:hyperlink w:anchor="_Toc242972424" w:history="1">
            <w:r w:rsidRPr="00D11EAB">
              <w:rPr>
                <w:rStyle w:val="Hyperlink"/>
                <w:noProof/>
              </w:rPr>
              <w:t>Neurorehabilitation</w:t>
            </w:r>
            <w:r>
              <w:rPr>
                <w:noProof/>
                <w:webHidden/>
              </w:rPr>
              <w:tab/>
            </w:r>
            <w:r>
              <w:rPr>
                <w:noProof/>
                <w:webHidden/>
              </w:rPr>
              <w:fldChar w:fldCharType="begin"/>
            </w:r>
            <w:r>
              <w:rPr>
                <w:noProof/>
                <w:webHidden/>
              </w:rPr>
              <w:instrText xml:space="preserve"> PAGEREF _Toc242972424 \h </w:instrText>
            </w:r>
            <w:r>
              <w:rPr>
                <w:noProof/>
                <w:webHidden/>
              </w:rPr>
            </w:r>
            <w:r>
              <w:rPr>
                <w:noProof/>
                <w:webHidden/>
              </w:rPr>
              <w:fldChar w:fldCharType="separate"/>
            </w:r>
            <w:r w:rsidR="0005114C">
              <w:rPr>
                <w:noProof/>
                <w:webHidden/>
              </w:rPr>
              <w:t>31</w:t>
            </w:r>
            <w:r>
              <w:rPr>
                <w:noProof/>
                <w:webHidden/>
              </w:rPr>
              <w:fldChar w:fldCharType="end"/>
            </w:r>
          </w:hyperlink>
        </w:p>
        <w:p w14:paraId="4124990D" w14:textId="3A57EFC5" w:rsidR="00653B13" w:rsidRDefault="00653B13">
          <w:r>
            <w:rPr>
              <w:b/>
              <w:bCs/>
              <w:noProof/>
            </w:rPr>
            <w:fldChar w:fldCharType="end"/>
          </w:r>
        </w:p>
      </w:sdtContent>
    </w:sdt>
    <w:p w14:paraId="341053DA" w14:textId="77777777" w:rsidR="00653B13" w:rsidRDefault="00653B13" w:rsidP="00653B13"/>
    <w:p w14:paraId="716D9AA6" w14:textId="77777777" w:rsidR="00DD6D1E" w:rsidRDefault="003E7AE2" w:rsidP="003E7AE2">
      <w:pPr>
        <w:pStyle w:val="Heading1"/>
      </w:pPr>
      <w:bookmarkStart w:id="0" w:name="_Toc242972419"/>
      <w:r w:rsidRPr="003E7AE2">
        <w:t>Aphasia</w:t>
      </w:r>
      <w:bookmarkEnd w:id="0"/>
    </w:p>
    <w:p w14:paraId="46BA3EAF" w14:textId="374BD165" w:rsidR="00887A97" w:rsidRPr="00887A97" w:rsidRDefault="00887A97" w:rsidP="00887A97">
      <w:pPr>
        <w:shd w:val="clear" w:color="auto" w:fill="FFFFFF"/>
        <w:spacing w:after="173"/>
        <w:ind w:left="450" w:hanging="450"/>
        <w:rPr>
          <w:rFonts w:eastAsia="Times New Roman" w:cs="Arial"/>
          <w:color w:val="000000"/>
          <w:sz w:val="21"/>
          <w:szCs w:val="21"/>
          <w:lang w:eastAsia="en-GB"/>
        </w:rPr>
      </w:pPr>
      <w:r w:rsidRPr="00887A97">
        <w:rPr>
          <w:rFonts w:eastAsia="Times New Roman" w:cs="Arial"/>
          <w:color w:val="000000"/>
          <w:sz w:val="21"/>
          <w:szCs w:val="21"/>
          <w:lang w:eastAsia="en-GB"/>
        </w:rPr>
        <w:t xml:space="preserve">1. </w:t>
      </w:r>
      <w:r w:rsidRPr="00887A97">
        <w:rPr>
          <w:rFonts w:eastAsia="Times New Roman" w:cs="Arial"/>
          <w:b/>
          <w:bCs/>
          <w:color w:val="000000"/>
          <w:sz w:val="21"/>
          <w:szCs w:val="21"/>
          <w:lang w:eastAsia="en-GB"/>
        </w:rPr>
        <w:t>A global multilingual cocreation of aphasia priority topics through patient and public involvement.</w:t>
      </w:r>
      <w:r w:rsidRPr="00887A97">
        <w:rPr>
          <w:rFonts w:eastAsia="Times New Roman" w:cs="Arial"/>
          <w:b/>
          <w:bCs/>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Authors:</w:t>
      </w:r>
      <w:r w:rsidRPr="00887A97">
        <w:rPr>
          <w:rFonts w:eastAsia="Times New Roman" w:cs="Arial"/>
          <w:color w:val="000000"/>
          <w:sz w:val="21"/>
          <w:szCs w:val="21"/>
          <w:lang w:eastAsia="en-GB"/>
        </w:rPr>
        <w:t xml:space="preserve"> Annoni, Jean Marie;Charalambous, Marina;Sluga, Jernej;Marteel, Clotilde;Gil, Javier;Strahler, Reto;Eckhardt, Fanni;Lyall, Colin;Crovetti, Davide;Mayhew, Hanka;Kountouri, Alexia;Bennington, Claire and Rubio, Silvia</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lastRenderedPageBreak/>
        <w:t xml:space="preserve">Publication Date: </w:t>
      </w:r>
      <w:r w:rsidRPr="00887A97">
        <w:rPr>
          <w:rFonts w:eastAsia="Times New Roman" w:cs="Arial"/>
          <w:color w:val="000000"/>
          <w:sz w:val="21"/>
          <w:szCs w:val="21"/>
          <w:lang w:eastAsia="en-GB"/>
        </w:rPr>
        <w:t>Jun 08 ,2026</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Journal: </w:t>
      </w:r>
      <w:r w:rsidRPr="00887A97">
        <w:rPr>
          <w:rFonts w:eastAsia="Times New Roman" w:cs="Arial"/>
          <w:color w:val="000000"/>
          <w:sz w:val="21"/>
          <w:szCs w:val="21"/>
          <w:lang w:eastAsia="en-GB"/>
        </w:rPr>
        <w:t>Research Involvement &amp; Engagement 12(1)</w:t>
      </w:r>
      <w:r w:rsidR="0005114C">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Abstract: BACKGROUND</w:t>
      </w:r>
      <w:r w:rsidRPr="00887A97">
        <w:rPr>
          <w:rFonts w:eastAsia="Times New Roman" w:cs="Arial"/>
          <w:color w:val="000000"/>
          <w:sz w:val="21"/>
          <w:szCs w:val="21"/>
          <w:lang w:eastAsia="en-GB"/>
        </w:rPr>
        <w:t xml:space="preserve">: People living with chronic aphasia (PWA) face long-term challenges that go well beyond communication difficulties, including emotional, social, and societal barriers. To ensure that research and policy efforts address what matters to them, it is vital to directly involve PWA in setting priorities. This international initiative adopted the patient and public involvement (PPI) approach to co-create a research agenda with PWA and health professionals across countries and languages. </w:t>
      </w:r>
      <w:r w:rsidRPr="00887A97">
        <w:rPr>
          <w:rFonts w:eastAsia="Times New Roman" w:cs="Arial"/>
          <w:b/>
          <w:bCs/>
          <w:color w:val="000000"/>
          <w:sz w:val="21"/>
          <w:szCs w:val="21"/>
          <w:lang w:eastAsia="en-GB"/>
        </w:rPr>
        <w:t>AIM</w:t>
      </w:r>
      <w:r w:rsidRPr="00887A97">
        <w:rPr>
          <w:rFonts w:eastAsia="Times New Roman" w:cs="Arial"/>
          <w:color w:val="000000"/>
          <w:sz w:val="21"/>
          <w:szCs w:val="21"/>
          <w:lang w:eastAsia="en-GB"/>
        </w:rPr>
        <w:t xml:space="preserve">: This study was initiated by a person with aphasia and three laypersons. We aimed to i) collaboratively identify and prioritize topics of greatest importance to PWA through a multilingual PPI process for orienting future research and ii) evaluate the participation and adherence of strongly involved PWA (both Patient Authors (PAs), and PWA who participated in co-design sessions) METHODS: The project involved more than 100 people living with aphasia (PWA) from 14 countries, with 11 countries contributing to the voting process. It utilised the PAOLI (People with Aphasia and Other Layperson Involvement) framework and inclusive communication strategies. The three-phase process included (1) an online consultation phase to generate initial topics, (2) a development phase through national-level co-design sessions to refine and rank topics and that concluded with international voting of four top priorities, and (3) a multilingual translational phase. Aphasia-friendly materials and real-time translation ensured accessibility. </w:t>
      </w:r>
      <w:r w:rsidRPr="00887A97">
        <w:rPr>
          <w:rFonts w:eastAsia="Times New Roman" w:cs="Arial"/>
          <w:b/>
          <w:bCs/>
          <w:color w:val="000000"/>
          <w:sz w:val="21"/>
          <w:szCs w:val="21"/>
          <w:lang w:eastAsia="en-GB"/>
        </w:rPr>
        <w:t>RESULTS</w:t>
      </w:r>
      <w:r w:rsidRPr="00887A97">
        <w:rPr>
          <w:rFonts w:eastAsia="Times New Roman" w:cs="Arial"/>
          <w:color w:val="000000"/>
          <w:sz w:val="21"/>
          <w:szCs w:val="21"/>
          <w:lang w:eastAsia="en-GB"/>
        </w:rPr>
        <w:t xml:space="preserve">: PWA played key roles in proposing topics, organizing and summarizing national and international voting, and promoting dissemination. Eleven out of the 14 participating countries (78%) voted. PAs rated their influence as optimal (5/8) or good (3/8), with a mean rating of 3.6/4. Notably, 11 of the 12 proposed topics originated from PWA. Four priorities emerged: (1) raising awareness of aphasia among families and society; (2) psychological changes, including impacts on intimacy and relationships; (3) rebuilding self-confidence after aphasia; and (4) improving therapy and hospital attitudes towards treatment. </w:t>
      </w:r>
      <w:r w:rsidRPr="00887A97">
        <w:rPr>
          <w:rFonts w:eastAsia="Times New Roman" w:cs="Arial"/>
          <w:b/>
          <w:bCs/>
          <w:color w:val="000000"/>
          <w:sz w:val="21"/>
          <w:szCs w:val="21"/>
          <w:lang w:eastAsia="en-GB"/>
        </w:rPr>
        <w:t>CONCLUSION</w:t>
      </w:r>
      <w:r w:rsidRPr="00887A97">
        <w:rPr>
          <w:rFonts w:eastAsia="Times New Roman" w:cs="Arial"/>
          <w:color w:val="000000"/>
          <w:sz w:val="21"/>
          <w:szCs w:val="21"/>
          <w:lang w:eastAsia="en-GB"/>
        </w:rPr>
        <w:t>: This multilingual, PPI-led initiative demonstrates that PWA can meaningfully co-create thematic priorities when supported by inclusive, accessible methods. These priorities, selected by PWA, corroborate and expand upon the conclusions of earlier research, particularly the pressing necessity to enhance public awareness of aphasia. The results also underscore a comprehensive perspective on living with aphasia, emphasising the social, emotional, and communicative dimensions that should guide future research, clinical care, and policy.</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t>Copyright © 2026. The Author(s).</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Access or request full text: </w:t>
      </w:r>
      <w:hyperlink r:id="rId7" w:tgtFrame="_blank" w:history="1">
        <w:r w:rsidRPr="00887A97">
          <w:rPr>
            <w:rFonts w:eastAsia="Times New Roman" w:cs="Arial"/>
            <w:color w:val="0066CC"/>
            <w:sz w:val="21"/>
            <w:szCs w:val="21"/>
            <w:lang w:eastAsia="en-GB"/>
          </w:rPr>
          <w:t>https://libkey.io/10.1186/s40900-026-00914-4</w:t>
        </w:r>
      </w:hyperlink>
    </w:p>
    <w:p w14:paraId="720391C5" w14:textId="2EDACD67" w:rsidR="00887A97" w:rsidRPr="00887A97" w:rsidRDefault="00887A97" w:rsidP="00887A97">
      <w:pPr>
        <w:shd w:val="clear" w:color="auto" w:fill="FFFFFF"/>
        <w:spacing w:after="173"/>
        <w:ind w:left="450" w:hanging="450"/>
        <w:rPr>
          <w:rFonts w:eastAsia="Times New Roman" w:cs="Arial"/>
          <w:color w:val="000000"/>
          <w:sz w:val="21"/>
          <w:szCs w:val="21"/>
          <w:lang w:eastAsia="en-GB"/>
        </w:rPr>
      </w:pPr>
      <w:r w:rsidRPr="00887A97">
        <w:rPr>
          <w:rFonts w:eastAsia="Times New Roman" w:cs="Arial"/>
          <w:color w:val="000000"/>
          <w:sz w:val="21"/>
          <w:szCs w:val="21"/>
          <w:lang w:eastAsia="en-GB"/>
        </w:rPr>
        <w:t xml:space="preserve">2. </w:t>
      </w:r>
      <w:r w:rsidRPr="00887A97">
        <w:rPr>
          <w:rFonts w:eastAsia="Times New Roman" w:cs="Arial"/>
          <w:b/>
          <w:bCs/>
          <w:color w:val="000000"/>
          <w:sz w:val="21"/>
          <w:szCs w:val="21"/>
          <w:lang w:eastAsia="en-GB"/>
        </w:rPr>
        <w:t>Informed Consent in Patients with Aphasia: Scoping Review of Clinical Decision-Making Tools and Medico-Legal Issues</w:t>
      </w:r>
      <w:r w:rsidRPr="00887A97">
        <w:rPr>
          <w:rFonts w:eastAsia="Times New Roman" w:cs="Arial"/>
          <w:b/>
          <w:bCs/>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Authors:</w:t>
      </w:r>
      <w:r w:rsidRPr="00887A97">
        <w:rPr>
          <w:rFonts w:eastAsia="Times New Roman" w:cs="Arial"/>
          <w:color w:val="000000"/>
          <w:sz w:val="21"/>
          <w:szCs w:val="21"/>
          <w:lang w:eastAsia="en-GB"/>
        </w:rPr>
        <w:t xml:space="preserve"> Brunasso, Lara;Maugeri, Rosario;Cipollina, Giuseppe Pio;Pellerito, Simona;Zerbo, Stefania;Malta, Ginevra;Grasso, Giovanni;Iacopino, Domenico Gerardo;Argo, Antonina and Albano, Giuseppe Davide</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Publication Date: </w:t>
      </w:r>
      <w:r w:rsidRPr="00887A97">
        <w:rPr>
          <w:rFonts w:eastAsia="Times New Roman" w:cs="Arial"/>
          <w:color w:val="000000"/>
          <w:sz w:val="21"/>
          <w:szCs w:val="21"/>
          <w:lang w:eastAsia="en-GB"/>
        </w:rPr>
        <w:t>Jun 10 ,2026</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Journal: </w:t>
      </w:r>
      <w:r w:rsidRPr="00887A97">
        <w:rPr>
          <w:rFonts w:eastAsia="Times New Roman" w:cs="Arial"/>
          <w:color w:val="000000"/>
          <w:sz w:val="21"/>
          <w:szCs w:val="21"/>
          <w:lang w:eastAsia="en-GB"/>
        </w:rPr>
        <w:t>Brain Sciences 16(6)</w:t>
      </w:r>
      <w:r w:rsidR="00496AE9">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Abstract: </w:t>
      </w:r>
      <w:r w:rsidRPr="00887A97">
        <w:rPr>
          <w:rFonts w:eastAsia="Times New Roman" w:cs="Arial"/>
          <w:color w:val="000000"/>
          <w:sz w:val="21"/>
          <w:szCs w:val="21"/>
          <w:lang w:eastAsia="en-GB"/>
        </w:rPr>
        <w:t xml:space="preserve">Informed consent is a core ethical and legal requirement in clinical practice. For individuals with aphasia, language impairments can hinder communication during consent processes. However, aphasia is primarily a language disorder and does not inherently imply cognitive impairment, a distinction frequently overlooked in clinical and legal settings. This scoping review examines how decision-making capacity (DMC) is assessed and supported in adults with aphasia, and outlines the clinical, ethical, and medico-legal implications for consent procedures. The review followed PRISMA-ScR guidelines. A systematic search of </w:t>
      </w:r>
      <w:r w:rsidRPr="00887A97">
        <w:rPr>
          <w:rFonts w:eastAsia="Times New Roman" w:cs="Arial"/>
          <w:color w:val="000000"/>
          <w:sz w:val="21"/>
          <w:szCs w:val="21"/>
          <w:lang w:eastAsia="en-GB"/>
        </w:rPr>
        <w:lastRenderedPageBreak/>
        <w:t>biomedical and legal databases was conducted without time restrictions. Studies addressing informed consent or DMC in adults with aphasia were included and analyzed using a qualitative thematic approach. Out of 519 records, 9 studies (2010-2024) from Australia, Canada, the United Kingdom, and Ireland met inclusion criteria. These studies often referenced national legislation and rights-based frameworks to define clinical responsibilities. Three main themes emerged: (1) DMC assessments rely heavily on language, with limited involvement of speech-language pathologists (SLPs), despite their role in reducing bias; (2) supported communication strategies-such as simplified language, visual aids, alternative response formats, and structured tools-can uncover "hidden competence"; and (3) structural barriers, including time constraints, insufficient training, and limited access to aphasia services, restrict implementation. Current evidence remains limited, largely qualitative, and insufficient to support definitive clinical recommendations. Incorporating supported communication, multidisciplinary assessment, and thorough documentation may enhance fairness and legal robustness. Future research should focus on validating aphasia-sensitive tools and evaluating their impact on outcomes and medico-legal risk.</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Access or request full text: </w:t>
      </w:r>
      <w:hyperlink r:id="rId8" w:tgtFrame="_blank" w:history="1">
        <w:r w:rsidRPr="00887A97">
          <w:rPr>
            <w:rFonts w:eastAsia="Times New Roman" w:cs="Arial"/>
            <w:color w:val="0066CC"/>
            <w:sz w:val="21"/>
            <w:szCs w:val="21"/>
            <w:lang w:eastAsia="en-GB"/>
          </w:rPr>
          <w:t>https://libkey.io/10.3390/brainsci16060621</w:t>
        </w:r>
      </w:hyperlink>
    </w:p>
    <w:p w14:paraId="0DFC1660" w14:textId="76FBA44B" w:rsidR="00887A97" w:rsidRPr="00887A97" w:rsidRDefault="00887A97" w:rsidP="00887A97">
      <w:pPr>
        <w:shd w:val="clear" w:color="auto" w:fill="FFFFFF"/>
        <w:spacing w:after="173"/>
        <w:ind w:left="450" w:hanging="450"/>
        <w:rPr>
          <w:rFonts w:eastAsia="Times New Roman" w:cs="Arial"/>
          <w:color w:val="000000"/>
          <w:sz w:val="21"/>
          <w:szCs w:val="21"/>
          <w:lang w:eastAsia="en-GB"/>
        </w:rPr>
      </w:pPr>
      <w:r w:rsidRPr="00887A97">
        <w:rPr>
          <w:rFonts w:eastAsia="Times New Roman" w:cs="Arial"/>
          <w:color w:val="000000"/>
          <w:sz w:val="21"/>
          <w:szCs w:val="21"/>
          <w:lang w:eastAsia="en-GB"/>
        </w:rPr>
        <w:t xml:space="preserve">3. </w:t>
      </w:r>
      <w:r w:rsidRPr="00887A97">
        <w:rPr>
          <w:rFonts w:eastAsia="Times New Roman" w:cs="Arial"/>
          <w:b/>
          <w:bCs/>
          <w:color w:val="000000"/>
          <w:sz w:val="21"/>
          <w:szCs w:val="21"/>
          <w:lang w:eastAsia="en-GB"/>
        </w:rPr>
        <w:t>Your Mileage May Vary: Individuals with Primary Progressive Aphasia Differ Widely in Their Utilization of Congruent Prosodic and Visual Information During Sentence Comprehension.</w:t>
      </w:r>
      <w:r w:rsidRPr="00887A97">
        <w:rPr>
          <w:rFonts w:eastAsia="Times New Roman" w:cs="Arial"/>
          <w:b/>
          <w:bCs/>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Authors:</w:t>
      </w:r>
      <w:r w:rsidRPr="00887A97">
        <w:rPr>
          <w:rFonts w:eastAsia="Times New Roman" w:cs="Arial"/>
          <w:color w:val="000000"/>
          <w:sz w:val="21"/>
          <w:szCs w:val="21"/>
          <w:lang w:eastAsia="en-GB"/>
        </w:rPr>
        <w:t xml:space="preserve"> Chaves, Mathew;Lambert, Marco A.;Kelly, Lindsey;Diaz-Carr, Isidora;Neal, Voss;Hillis, Argye E. and Stockbridge, Melissa D.</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Publication Date: </w:t>
      </w:r>
      <w:r w:rsidRPr="00887A97">
        <w:rPr>
          <w:rFonts w:eastAsia="Times New Roman" w:cs="Arial"/>
          <w:color w:val="000000"/>
          <w:sz w:val="21"/>
          <w:szCs w:val="21"/>
          <w:lang w:eastAsia="en-GB"/>
        </w:rPr>
        <w:t>Jan 29 ,2026</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Journal: </w:t>
      </w:r>
      <w:r w:rsidRPr="00887A97">
        <w:rPr>
          <w:rFonts w:eastAsia="Times New Roman" w:cs="Arial"/>
          <w:color w:val="000000"/>
          <w:sz w:val="21"/>
          <w:szCs w:val="21"/>
          <w:lang w:eastAsia="en-GB"/>
        </w:rPr>
        <w:t>Brain Sciences 16(2)</w:t>
      </w:r>
      <w:r w:rsidR="00496AE9">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Abstract: Background/Objectives:</w:t>
      </w:r>
      <w:r w:rsidRPr="00887A97">
        <w:rPr>
          <w:rFonts w:eastAsia="Times New Roman" w:cs="Arial"/>
          <w:color w:val="000000"/>
          <w:sz w:val="21"/>
          <w:szCs w:val="21"/>
          <w:lang w:eastAsia="en-GB"/>
        </w:rPr>
        <w:t xml:space="preserve"> Primary progressive aphasia (PPA) is a clinical syndrome associated with gradual language impairment caused by neurodegenerative disease. While people with post-stroke aphasia often depend on visual and prosodic cues to facilitate language, we hypothesized that people with PPA may have difficulty using such cues due to degeneration in the right hemisphere (albeit less than in the left hemisphere) in PPA.</w:t>
      </w:r>
      <w:r w:rsidR="00496AE9">
        <w:rPr>
          <w:rFonts w:eastAsia="Times New Roman" w:cs="Arial"/>
          <w:color w:val="000000"/>
          <w:sz w:val="21"/>
          <w:szCs w:val="21"/>
          <w:lang w:eastAsia="en-GB"/>
        </w:rPr>
        <w:t xml:space="preserve"> </w:t>
      </w:r>
      <w:r w:rsidRPr="00887A97">
        <w:rPr>
          <w:rFonts w:eastAsia="Times New Roman" w:cs="Arial"/>
          <w:b/>
          <w:bCs/>
          <w:color w:val="000000"/>
          <w:sz w:val="21"/>
          <w:szCs w:val="21"/>
          <w:lang w:eastAsia="en-GB"/>
        </w:rPr>
        <w:t>Methods:</w:t>
      </w:r>
      <w:r w:rsidRPr="00887A97">
        <w:rPr>
          <w:rFonts w:eastAsia="Times New Roman" w:cs="Arial"/>
          <w:color w:val="000000"/>
          <w:sz w:val="21"/>
          <w:szCs w:val="21"/>
          <w:lang w:eastAsia="en-GB"/>
        </w:rPr>
        <w:t xml:space="preserve"> Eighty-eight outpatients diagnosed with PPA received the Hopkins Auditory Comprehension with Context Assessment (HACCA), a recently developed instrument that systematically titrates both acoustic (prosody) and visual (speaker image) cues in a four-item forced-choice sentence picture matching paradigm assessing comprehension. Patients were grouped based on the effects of cues on accuracy and were examined both by the PPA variant and individually.</w:t>
      </w:r>
      <w:r w:rsidR="00496AE9">
        <w:rPr>
          <w:rFonts w:eastAsia="Times New Roman" w:cs="Arial"/>
          <w:color w:val="000000"/>
          <w:sz w:val="21"/>
          <w:szCs w:val="21"/>
          <w:lang w:eastAsia="en-GB"/>
        </w:rPr>
        <w:t xml:space="preserve"> </w:t>
      </w:r>
      <w:r w:rsidRPr="00887A97">
        <w:rPr>
          <w:rFonts w:eastAsia="Times New Roman" w:cs="Arial"/>
          <w:b/>
          <w:bCs/>
          <w:color w:val="000000"/>
          <w:sz w:val="21"/>
          <w:szCs w:val="21"/>
          <w:lang w:eastAsia="en-GB"/>
        </w:rPr>
        <w:t>Results:</w:t>
      </w:r>
      <w:r w:rsidRPr="00887A97">
        <w:rPr>
          <w:rFonts w:eastAsia="Times New Roman" w:cs="Arial"/>
          <w:color w:val="000000"/>
          <w:sz w:val="21"/>
          <w:szCs w:val="21"/>
          <w:lang w:eastAsia="en-GB"/>
        </w:rPr>
        <w:t xml:space="preserve"> There was a significant difference between performance classifications across the three cueing conditions as a function of PPA variant (</w:t>
      </w:r>
      <w:r w:rsidRPr="00887A97">
        <w:rPr>
          <w:rFonts w:eastAsia="Times New Roman" w:cs="Arial"/>
          <w:i/>
          <w:iCs/>
          <w:color w:val="000000"/>
          <w:sz w:val="21"/>
          <w:szCs w:val="21"/>
          <w:lang w:eastAsia="en-GB"/>
        </w:rPr>
        <w:t>p</w:t>
      </w:r>
      <w:r w:rsidRPr="00887A97">
        <w:rPr>
          <w:rFonts w:eastAsia="Times New Roman" w:cs="Arial"/>
          <w:color w:val="000000"/>
          <w:sz w:val="21"/>
          <w:szCs w:val="21"/>
          <w:lang w:eastAsia="en-GB"/>
        </w:rPr>
        <w:t xml:space="preserve"> = 0.014). When individuals with distinct complementary profiles of performance across conditions were examined separately, a small number with logopenic PPA uniquely benefitted from the inclusion of video, while certain patients performed more poorly given any additional cues. HACCA performance across cueing conditions had a strong positive association with other concurrent measures of communication and cognition.</w:t>
      </w:r>
      <w:r w:rsidR="00496AE9">
        <w:rPr>
          <w:rFonts w:eastAsia="Times New Roman" w:cs="Arial"/>
          <w:color w:val="000000"/>
          <w:sz w:val="21"/>
          <w:szCs w:val="21"/>
          <w:lang w:eastAsia="en-GB"/>
        </w:rPr>
        <w:t xml:space="preserve"> </w:t>
      </w:r>
      <w:r w:rsidRPr="00887A97">
        <w:rPr>
          <w:rFonts w:eastAsia="Times New Roman" w:cs="Arial"/>
          <w:b/>
          <w:bCs/>
          <w:color w:val="000000"/>
          <w:sz w:val="21"/>
          <w:szCs w:val="21"/>
          <w:lang w:eastAsia="en-GB"/>
        </w:rPr>
        <w:t>Conclusions:</w:t>
      </w:r>
      <w:r w:rsidRPr="00887A97">
        <w:rPr>
          <w:rFonts w:eastAsia="Times New Roman" w:cs="Arial"/>
          <w:color w:val="000000"/>
          <w:sz w:val="21"/>
          <w:szCs w:val="21"/>
          <w:lang w:eastAsia="en-GB"/>
        </w:rPr>
        <w:t xml:space="preserve"> Individual patterns of response to prosodic and visual cues provide important insights valuable in refining therapeutic approaches that target the retention of function and support a more robust understanding of the individual variability among patients with this uncommon neurodegenerative syndrome.</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Access or request full text: </w:t>
      </w:r>
      <w:hyperlink r:id="rId9" w:tgtFrame="_blank" w:history="1">
        <w:r w:rsidRPr="00887A97">
          <w:rPr>
            <w:rFonts w:eastAsia="Times New Roman" w:cs="Arial"/>
            <w:color w:val="0066CC"/>
            <w:sz w:val="21"/>
            <w:szCs w:val="21"/>
            <w:lang w:eastAsia="en-GB"/>
          </w:rPr>
          <w:t>https://libkey.io/10.3390/brainsci16020149</w:t>
        </w:r>
      </w:hyperlink>
    </w:p>
    <w:p w14:paraId="1AF31241" w14:textId="7B1C7262" w:rsidR="00887A97" w:rsidRPr="00887A97" w:rsidRDefault="00887A97" w:rsidP="00887A97">
      <w:pPr>
        <w:shd w:val="clear" w:color="auto" w:fill="FFFFFF"/>
        <w:spacing w:after="173"/>
        <w:ind w:left="450" w:hanging="450"/>
        <w:rPr>
          <w:rFonts w:eastAsia="Times New Roman" w:cs="Arial"/>
          <w:color w:val="000000"/>
          <w:sz w:val="21"/>
          <w:szCs w:val="21"/>
          <w:lang w:eastAsia="en-GB"/>
        </w:rPr>
      </w:pPr>
      <w:r w:rsidRPr="00887A97">
        <w:rPr>
          <w:rFonts w:eastAsia="Times New Roman" w:cs="Arial"/>
          <w:color w:val="000000"/>
          <w:sz w:val="21"/>
          <w:szCs w:val="21"/>
          <w:lang w:eastAsia="en-GB"/>
        </w:rPr>
        <w:t xml:space="preserve">4. </w:t>
      </w:r>
      <w:r w:rsidRPr="00887A97">
        <w:rPr>
          <w:rFonts w:eastAsia="Times New Roman" w:cs="Arial"/>
          <w:b/>
          <w:bCs/>
          <w:color w:val="000000"/>
          <w:sz w:val="21"/>
          <w:szCs w:val="21"/>
          <w:lang w:eastAsia="en-GB"/>
        </w:rPr>
        <w:t>Dose Considerations and Generalization Following Script Training for Poststroke Aphasia: A Randomized Factorial Clinical Trial.</w:t>
      </w:r>
      <w:r w:rsidRPr="00887A97">
        <w:rPr>
          <w:rFonts w:eastAsia="Times New Roman" w:cs="Arial"/>
          <w:b/>
          <w:bCs/>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Authors:</w:t>
      </w:r>
      <w:r w:rsidRPr="00887A97">
        <w:rPr>
          <w:rFonts w:eastAsia="Times New Roman" w:cs="Arial"/>
          <w:color w:val="000000"/>
          <w:sz w:val="21"/>
          <w:szCs w:val="21"/>
          <w:lang w:eastAsia="en-GB"/>
        </w:rPr>
        <w:t xml:space="preserve"> Cherney, Leora R.;Kinsey, Laura E.;Blaze, Erin E.;Gray, Elizabeth L.;Kwasny, </w:t>
      </w:r>
      <w:r w:rsidRPr="00887A97">
        <w:rPr>
          <w:rFonts w:eastAsia="Times New Roman" w:cs="Arial"/>
          <w:color w:val="000000"/>
          <w:sz w:val="21"/>
          <w:szCs w:val="21"/>
          <w:lang w:eastAsia="en-GB"/>
        </w:rPr>
        <w:lastRenderedPageBreak/>
        <w:t>Mary J. and Van Vuuren, Sarel</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Publication Date: </w:t>
      </w:r>
      <w:r w:rsidRPr="00887A97">
        <w:rPr>
          <w:rFonts w:eastAsia="Times New Roman" w:cs="Arial"/>
          <w:color w:val="000000"/>
          <w:sz w:val="21"/>
          <w:szCs w:val="21"/>
          <w:lang w:eastAsia="en-GB"/>
        </w:rPr>
        <w:t>Oct 01 ,2026</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Journal: </w:t>
      </w:r>
      <w:r w:rsidRPr="00887A97">
        <w:rPr>
          <w:rFonts w:eastAsia="Times New Roman" w:cs="Arial"/>
          <w:color w:val="000000"/>
          <w:sz w:val="21"/>
          <w:szCs w:val="21"/>
          <w:lang w:eastAsia="en-GB"/>
        </w:rPr>
        <w:t>Journal of Speech Language &amp; Hearing Research 1-20</w:t>
      </w:r>
      <w:r w:rsidR="00496AE9">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Abstract: PURPOSE</w:t>
      </w:r>
      <w:r w:rsidRPr="00887A97">
        <w:rPr>
          <w:rFonts w:eastAsia="Times New Roman" w:cs="Arial"/>
          <w:color w:val="000000"/>
          <w:sz w:val="21"/>
          <w:szCs w:val="21"/>
          <w:lang w:eastAsia="en-GB"/>
        </w:rPr>
        <w:t xml:space="preserve">: Using script training as an intervention, this study modulated the dose parameters of stimulus repetition (i.e., long vs. short scripts) and session frequency (i.e., distributed vs. massed practice) and assessed their impact on maintenance and generalization in people with chronic poststroke aphasia. </w:t>
      </w:r>
      <w:r w:rsidRPr="00887A97">
        <w:rPr>
          <w:rFonts w:eastAsia="Times New Roman" w:cs="Arial"/>
          <w:b/>
          <w:bCs/>
          <w:color w:val="000000"/>
          <w:sz w:val="21"/>
          <w:szCs w:val="21"/>
          <w:lang w:eastAsia="en-GB"/>
        </w:rPr>
        <w:t>METHOD</w:t>
      </w:r>
      <w:r w:rsidRPr="00887A97">
        <w:rPr>
          <w:rFonts w:eastAsia="Times New Roman" w:cs="Arial"/>
          <w:color w:val="000000"/>
          <w:sz w:val="21"/>
          <w:szCs w:val="21"/>
          <w:lang w:eastAsia="en-GB"/>
        </w:rPr>
        <w:t xml:space="preserve">: The study was a single-site, factorial, single-blind randomized controlled trial. Participants were randomized in a 2 x 2 factorial design into one of four study arms, stratified by pretreatment aphasia severity: (a) distributed/short script, (b) distributed/long script, (c) massed/short script, and (d) massed/long script. Participants completed 10, 1-hr sessions of computer-based script training. Participants were assigned to one of four levels of script complexity with levels determined by aphasia severity. The primary generalization outcome measured performance on the trained script in a simulated conversation with a familiar speech-language pathologist posttreatment. Secondary outcomes included evaluating (a) maintenance of the primary outcome at 3 and 6 weeks posttreatment and (b) generalization of the trained script content to an unstructured conversation with an unfamiliar, naive partner at baseline, posttreatment, and 6 weeks posttreatment. </w:t>
      </w:r>
      <w:r w:rsidRPr="00887A97">
        <w:rPr>
          <w:rFonts w:eastAsia="Times New Roman" w:cs="Arial"/>
          <w:b/>
          <w:bCs/>
          <w:color w:val="000000"/>
          <w:sz w:val="21"/>
          <w:szCs w:val="21"/>
          <w:lang w:eastAsia="en-GB"/>
        </w:rPr>
        <w:t>RESULTS</w:t>
      </w:r>
      <w:r w:rsidRPr="00887A97">
        <w:rPr>
          <w:rFonts w:eastAsia="Times New Roman" w:cs="Arial"/>
          <w:color w:val="000000"/>
          <w:sz w:val="21"/>
          <w:szCs w:val="21"/>
          <w:lang w:eastAsia="en-GB"/>
        </w:rPr>
        <w:t xml:space="preserve">: Eighty-five participants with aphasia enrolled in the study. There was no significant difference between groups from baseline to posttreatment and follow-up for stimulus repetition, but there was a significant difference for session frequency with massed performing better than distributed. Factor interactions over time indicated that long scripts showed greater improvements with distributed versus massed session frequency, whereas short scripts were better maintained than long scripts at 6-week follow-up. Within groups, there was significant improvement from baseline to posttreatment, which was generally maintained at 6 weeks posttreatment. </w:t>
      </w:r>
      <w:r w:rsidRPr="00887A97">
        <w:rPr>
          <w:rFonts w:eastAsia="Times New Roman" w:cs="Arial"/>
          <w:b/>
          <w:bCs/>
          <w:color w:val="000000"/>
          <w:sz w:val="21"/>
          <w:szCs w:val="21"/>
          <w:lang w:eastAsia="en-GB"/>
        </w:rPr>
        <w:t>CONCLUSIONS</w:t>
      </w:r>
      <w:r w:rsidRPr="00887A97">
        <w:rPr>
          <w:rFonts w:eastAsia="Times New Roman" w:cs="Arial"/>
          <w:color w:val="000000"/>
          <w:sz w:val="21"/>
          <w:szCs w:val="21"/>
          <w:lang w:eastAsia="en-GB"/>
        </w:rPr>
        <w:t xml:space="preserve">: Results provide further evidence supporting the efficacy of script training. Dose parameters such as session frequency and stimulus repetition may impact the maintenance and generalization of treatment and should be considered when delivering this and other aphasia treatments. </w:t>
      </w:r>
      <w:r w:rsidRPr="00887A97">
        <w:rPr>
          <w:rFonts w:eastAsia="Times New Roman" w:cs="Arial"/>
          <w:b/>
          <w:bCs/>
          <w:color w:val="000000"/>
          <w:sz w:val="21"/>
          <w:szCs w:val="21"/>
          <w:lang w:eastAsia="en-GB"/>
        </w:rPr>
        <w:t>SUPPLEMENTAL MATERIAL</w:t>
      </w:r>
      <w:r w:rsidRPr="00887A97">
        <w:rPr>
          <w:rFonts w:eastAsia="Times New Roman" w:cs="Arial"/>
          <w:color w:val="000000"/>
          <w:sz w:val="21"/>
          <w:szCs w:val="21"/>
          <w:lang w:eastAsia="en-GB"/>
        </w:rPr>
        <w:t xml:space="preserve">: </w:t>
      </w:r>
      <w:hyperlink r:id="rId10" w:tgtFrame="_blank" w:history="1">
        <w:r w:rsidRPr="00887A97">
          <w:rPr>
            <w:rFonts w:eastAsia="Times New Roman" w:cs="Arial"/>
            <w:color w:val="0066CC"/>
            <w:sz w:val="21"/>
            <w:szCs w:val="21"/>
            <w:lang w:eastAsia="en-GB"/>
          </w:rPr>
          <w:t>https://doi.org/10.23641/asha.33990859.</w:t>
        </w:r>
      </w:hyperlink>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Access or request full text: </w:t>
      </w:r>
      <w:hyperlink r:id="rId11" w:tgtFrame="_blank" w:history="1">
        <w:r w:rsidRPr="00887A97">
          <w:rPr>
            <w:rFonts w:eastAsia="Times New Roman" w:cs="Arial"/>
            <w:color w:val="0066CC"/>
            <w:sz w:val="21"/>
            <w:szCs w:val="21"/>
            <w:lang w:eastAsia="en-GB"/>
          </w:rPr>
          <w:t>https://libkey.io/10.1044/2026_JSLHR-26-00120</w:t>
        </w:r>
      </w:hyperlink>
    </w:p>
    <w:p w14:paraId="7A1015FC" w14:textId="1EBE06ED" w:rsidR="00887A97" w:rsidRPr="00887A97" w:rsidRDefault="00887A97" w:rsidP="00887A97">
      <w:pPr>
        <w:shd w:val="clear" w:color="auto" w:fill="FFFFFF"/>
        <w:spacing w:after="173"/>
        <w:ind w:left="450" w:hanging="450"/>
        <w:rPr>
          <w:rFonts w:eastAsia="Times New Roman" w:cs="Arial"/>
          <w:color w:val="000000"/>
          <w:sz w:val="21"/>
          <w:szCs w:val="21"/>
          <w:lang w:eastAsia="en-GB"/>
        </w:rPr>
      </w:pPr>
      <w:r w:rsidRPr="00887A97">
        <w:rPr>
          <w:rFonts w:eastAsia="Times New Roman" w:cs="Arial"/>
          <w:color w:val="000000"/>
          <w:sz w:val="21"/>
          <w:szCs w:val="21"/>
          <w:lang w:eastAsia="en-GB"/>
        </w:rPr>
        <w:t xml:space="preserve">5. </w:t>
      </w:r>
      <w:r w:rsidRPr="00887A97">
        <w:rPr>
          <w:rFonts w:eastAsia="Times New Roman" w:cs="Arial"/>
          <w:b/>
          <w:bCs/>
          <w:color w:val="000000"/>
          <w:sz w:val="21"/>
          <w:szCs w:val="21"/>
          <w:lang w:eastAsia="en-GB"/>
        </w:rPr>
        <w:t>The relationship between executive functions and language abilities in people with post-stroke aphasia: A systematic review of recent findings</w:t>
      </w:r>
      <w:r w:rsidRPr="00887A97">
        <w:rPr>
          <w:rFonts w:eastAsia="Times New Roman" w:cs="Arial"/>
          <w:b/>
          <w:bCs/>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Authors:</w:t>
      </w:r>
      <w:r w:rsidRPr="00887A97">
        <w:rPr>
          <w:rFonts w:eastAsia="Times New Roman" w:cs="Arial"/>
          <w:color w:val="000000"/>
          <w:sz w:val="21"/>
          <w:szCs w:val="21"/>
          <w:lang w:eastAsia="en-GB"/>
        </w:rPr>
        <w:t xml:space="preserve"> Dosen, Ana and Matic, Ana</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Publication Date: </w:t>
      </w:r>
      <w:r w:rsidRPr="00887A97">
        <w:rPr>
          <w:rFonts w:eastAsia="Times New Roman" w:cs="Arial"/>
          <w:color w:val="000000"/>
          <w:sz w:val="21"/>
          <w:szCs w:val="21"/>
          <w:lang w:eastAsia="en-GB"/>
        </w:rPr>
        <w:t>Jul 11 ,2026</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Journal: </w:t>
      </w:r>
      <w:r w:rsidRPr="00887A97">
        <w:rPr>
          <w:rFonts w:eastAsia="Times New Roman" w:cs="Arial"/>
          <w:color w:val="000000"/>
          <w:sz w:val="21"/>
          <w:szCs w:val="21"/>
          <w:lang w:eastAsia="en-GB"/>
        </w:rPr>
        <w:t>International Journal of Speechlanguage Pathology 1-25</w:t>
      </w:r>
      <w:r w:rsidR="00496AE9">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Abstract: PURPOSE</w:t>
      </w:r>
      <w:r w:rsidRPr="00887A97">
        <w:rPr>
          <w:rFonts w:eastAsia="Times New Roman" w:cs="Arial"/>
          <w:color w:val="000000"/>
          <w:sz w:val="21"/>
          <w:szCs w:val="21"/>
          <w:lang w:eastAsia="en-GB"/>
        </w:rPr>
        <w:t xml:space="preserve">: This systematic review explores the relationship between executive functions and language abilities in people with post-stroke aphasia by addressing two questions: (a) What are the most commonly used tests and tasks to measure executive functioning in post-stroke aphasia?; and (b) Which executive functions contribute to a particular language ability? (i.e. How does executive functioning performance relate to performance on specific language comprehension and production tasks in post-stroke aphasia?). </w:t>
      </w:r>
      <w:r w:rsidRPr="00887A97">
        <w:rPr>
          <w:rFonts w:eastAsia="Times New Roman" w:cs="Arial"/>
          <w:b/>
          <w:bCs/>
          <w:color w:val="000000"/>
          <w:sz w:val="21"/>
          <w:szCs w:val="21"/>
          <w:lang w:eastAsia="en-GB"/>
        </w:rPr>
        <w:t>METHOD</w:t>
      </w:r>
      <w:r w:rsidRPr="00887A97">
        <w:rPr>
          <w:rFonts w:eastAsia="Times New Roman" w:cs="Arial"/>
          <w:color w:val="000000"/>
          <w:sz w:val="21"/>
          <w:szCs w:val="21"/>
          <w:lang w:eastAsia="en-GB"/>
        </w:rPr>
        <w:t xml:space="preserve">: A total of 33 studies published between January 2004 and January 2024 were conducted using the Web of Science and Scopus databases, with the PRISMA flow diagram illustrating the selection process. </w:t>
      </w:r>
      <w:r w:rsidRPr="00887A97">
        <w:rPr>
          <w:rFonts w:eastAsia="Times New Roman" w:cs="Arial"/>
          <w:b/>
          <w:bCs/>
          <w:color w:val="000000"/>
          <w:sz w:val="21"/>
          <w:szCs w:val="21"/>
          <w:lang w:eastAsia="en-GB"/>
        </w:rPr>
        <w:t>RESULT</w:t>
      </w:r>
      <w:r w:rsidRPr="00887A97">
        <w:rPr>
          <w:rFonts w:eastAsia="Times New Roman" w:cs="Arial"/>
          <w:color w:val="000000"/>
          <w:sz w:val="21"/>
          <w:szCs w:val="21"/>
          <w:lang w:eastAsia="en-GB"/>
        </w:rPr>
        <w:t xml:space="preserve">: Most studies (82%) reported either a partial or a clear relationship between executive functioning and language performance. However, not all executive functions contribute equally to all language abilities (e.g. comprehension vs. production) or levels (e.g. word- vs. sentence-level). The most commonly used executive functioning measures included span tasks (particularly Backward </w:t>
      </w:r>
      <w:r w:rsidRPr="00887A97">
        <w:rPr>
          <w:rFonts w:eastAsia="Times New Roman" w:cs="Arial"/>
          <w:color w:val="000000"/>
          <w:sz w:val="21"/>
          <w:szCs w:val="21"/>
          <w:lang w:eastAsia="en-GB"/>
        </w:rPr>
        <w:lastRenderedPageBreak/>
        <w:t xml:space="preserve">Digit Span and Listening Span variants), the Brixton Spatial Anticipation Test, Trail Making Test, Stroop task, Coloured Progressive Matrices, and Wisconsin Card Sorting Test. </w:t>
      </w:r>
      <w:r w:rsidRPr="00887A97">
        <w:rPr>
          <w:rFonts w:eastAsia="Times New Roman" w:cs="Arial"/>
          <w:b/>
          <w:bCs/>
          <w:color w:val="000000"/>
          <w:sz w:val="21"/>
          <w:szCs w:val="21"/>
          <w:lang w:eastAsia="en-GB"/>
        </w:rPr>
        <w:t>CONCLUSION</w:t>
      </w:r>
      <w:r w:rsidRPr="00887A97">
        <w:rPr>
          <w:rFonts w:eastAsia="Times New Roman" w:cs="Arial"/>
          <w:color w:val="000000"/>
          <w:sz w:val="21"/>
          <w:szCs w:val="21"/>
          <w:lang w:eastAsia="en-GB"/>
        </w:rPr>
        <w:t>: The strength and consistency of the relationship between executive functioning and language appear to depend on various factors, which emphasises the need for more controlled methodology, refined measurements, and representative samples in future research.</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Access or request full text: </w:t>
      </w:r>
      <w:hyperlink r:id="rId12" w:tgtFrame="_blank" w:history="1">
        <w:r w:rsidRPr="00887A97">
          <w:rPr>
            <w:rFonts w:eastAsia="Times New Roman" w:cs="Arial"/>
            <w:color w:val="0066CC"/>
            <w:sz w:val="21"/>
            <w:szCs w:val="21"/>
            <w:lang w:eastAsia="en-GB"/>
          </w:rPr>
          <w:t>https://libkey.io/10.1080/17549507.2026.2694575</w:t>
        </w:r>
      </w:hyperlink>
    </w:p>
    <w:p w14:paraId="56286499" w14:textId="60CFCB7B" w:rsidR="00887A97" w:rsidRPr="00887A97" w:rsidRDefault="00887A97" w:rsidP="00887A97">
      <w:pPr>
        <w:shd w:val="clear" w:color="auto" w:fill="FFFFFF"/>
        <w:spacing w:after="173"/>
        <w:ind w:left="450" w:hanging="450"/>
        <w:rPr>
          <w:rFonts w:eastAsia="Times New Roman" w:cs="Arial"/>
          <w:color w:val="000000"/>
          <w:sz w:val="21"/>
          <w:szCs w:val="21"/>
          <w:lang w:eastAsia="en-GB"/>
        </w:rPr>
      </w:pPr>
      <w:r w:rsidRPr="00887A97">
        <w:rPr>
          <w:rFonts w:eastAsia="Times New Roman" w:cs="Arial"/>
          <w:color w:val="000000"/>
          <w:sz w:val="21"/>
          <w:szCs w:val="21"/>
          <w:lang w:eastAsia="en-GB"/>
        </w:rPr>
        <w:t xml:space="preserve">6. </w:t>
      </w:r>
      <w:r w:rsidRPr="00887A97">
        <w:rPr>
          <w:rFonts w:eastAsia="Times New Roman" w:cs="Arial"/>
          <w:b/>
          <w:bCs/>
          <w:color w:val="000000"/>
          <w:sz w:val="21"/>
          <w:szCs w:val="21"/>
          <w:lang w:eastAsia="en-GB"/>
        </w:rPr>
        <w:t>Writing Abilities in Primary Progressive Aphasia: A Scoping Literature Review</w:t>
      </w:r>
      <w:r w:rsidRPr="00887A97">
        <w:rPr>
          <w:rFonts w:eastAsia="Times New Roman" w:cs="Arial"/>
          <w:b/>
          <w:bCs/>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Authors:</w:t>
      </w:r>
      <w:r w:rsidRPr="00887A97">
        <w:rPr>
          <w:rFonts w:eastAsia="Times New Roman" w:cs="Arial"/>
          <w:color w:val="000000"/>
          <w:sz w:val="21"/>
          <w:szCs w:val="21"/>
          <w:lang w:eastAsia="en-GB"/>
        </w:rPr>
        <w:t xml:space="preserve"> Esposito, Valentina;Conca, Francesca;Santi, Gaia C.;Cappa, Stefano F. and Catricala, Eleonora</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Publication Date: </w:t>
      </w:r>
      <w:r w:rsidRPr="00887A97">
        <w:rPr>
          <w:rFonts w:eastAsia="Times New Roman" w:cs="Arial"/>
          <w:color w:val="000000"/>
          <w:sz w:val="21"/>
          <w:szCs w:val="21"/>
          <w:lang w:eastAsia="en-GB"/>
        </w:rPr>
        <w:t>Apr 17 ,2026</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Journal: </w:t>
      </w:r>
      <w:r w:rsidRPr="00887A97">
        <w:rPr>
          <w:rFonts w:eastAsia="Times New Roman" w:cs="Arial"/>
          <w:color w:val="000000"/>
          <w:sz w:val="21"/>
          <w:szCs w:val="21"/>
          <w:lang w:eastAsia="en-GB"/>
        </w:rPr>
        <w:t>Brain Sciences 16(4)</w:t>
      </w:r>
      <w:r w:rsidR="00496AE9">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Abstract: BACKGROUND</w:t>
      </w:r>
      <w:r w:rsidRPr="00887A97">
        <w:rPr>
          <w:rFonts w:eastAsia="Times New Roman" w:cs="Arial"/>
          <w:color w:val="000000"/>
          <w:sz w:val="21"/>
          <w:szCs w:val="21"/>
          <w:lang w:eastAsia="en-GB"/>
        </w:rPr>
        <w:t xml:space="preserve">: Given the central role of writing and typing in contemporary communication, integrating writing assessments into clinical practice is crucial for improving the diagnosis and management of primary progressive aphasia (PPA). This scoping review summarizes evidence on writing abilities in PPA, examining task types, their strengths and limitations, the linguistic features of stimuli, and the influence of language differences. </w:t>
      </w:r>
      <w:r w:rsidRPr="00887A97">
        <w:rPr>
          <w:rFonts w:eastAsia="Times New Roman" w:cs="Arial"/>
          <w:b/>
          <w:bCs/>
          <w:color w:val="000000"/>
          <w:sz w:val="21"/>
          <w:szCs w:val="21"/>
          <w:lang w:eastAsia="en-GB"/>
        </w:rPr>
        <w:t>METHODS</w:t>
      </w:r>
      <w:r w:rsidRPr="00887A97">
        <w:rPr>
          <w:rFonts w:eastAsia="Times New Roman" w:cs="Arial"/>
          <w:color w:val="000000"/>
          <w:sz w:val="21"/>
          <w:szCs w:val="21"/>
          <w:lang w:eastAsia="en-GB"/>
        </w:rPr>
        <w:t xml:space="preserve">: A literature search was conducted using the Google Scholar and PubMed databases. We included papers published in peer-reviewed journals and written in English that present data from at least one PPA subject and report a quantitative score relative to a writing task. Fifty-one studies were included (forty-seven behavioral; four with neuroimaging). </w:t>
      </w:r>
      <w:r w:rsidRPr="00887A97">
        <w:rPr>
          <w:rFonts w:eastAsia="Times New Roman" w:cs="Arial"/>
          <w:b/>
          <w:bCs/>
          <w:color w:val="000000"/>
          <w:sz w:val="21"/>
          <w:szCs w:val="21"/>
          <w:lang w:eastAsia="en-GB"/>
        </w:rPr>
        <w:t>RESULTS</w:t>
      </w:r>
      <w:r w:rsidRPr="00887A97">
        <w:rPr>
          <w:rFonts w:eastAsia="Times New Roman" w:cs="Arial"/>
          <w:color w:val="000000"/>
          <w:sz w:val="21"/>
          <w:szCs w:val="21"/>
          <w:lang w:eastAsia="en-GB"/>
        </w:rPr>
        <w:t xml:space="preserve">: Overall, the literature is fragmented, with marked variability in task design and the control of psycholinguistic variables. Writing to dictation is the most frequently used task but fails to capture the full spectrum of writing impairments, whereas tasks tapping lexico-semantic, morpho-syntactic, and discourse-level abilities are rarely employed. At the syndromic description level, svPPA typically shows surface dysgraphia, nfvPPA presents phonological dysgraphia and agrammatic writing, and lvPPA displays mixed error profiles. Neuroimaging findings are highly heterogeneous. </w:t>
      </w:r>
      <w:r w:rsidRPr="00887A97">
        <w:rPr>
          <w:rFonts w:eastAsia="Times New Roman" w:cs="Arial"/>
          <w:b/>
          <w:bCs/>
          <w:color w:val="000000"/>
          <w:sz w:val="21"/>
          <w:szCs w:val="21"/>
          <w:lang w:eastAsia="en-GB"/>
        </w:rPr>
        <w:t>CONCLUSIONS</w:t>
      </w:r>
      <w:r w:rsidRPr="00887A97">
        <w:rPr>
          <w:rFonts w:eastAsia="Times New Roman" w:cs="Arial"/>
          <w:color w:val="000000"/>
          <w:sz w:val="21"/>
          <w:szCs w:val="21"/>
          <w:lang w:eastAsia="en-GB"/>
        </w:rPr>
        <w:t>: The review underscores the need for systematic, linguistically grounded approaches to writing assessments in PPA to enhance diagnostic precision and cross-linguistic comparability.</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Access or request full text: </w:t>
      </w:r>
      <w:hyperlink r:id="rId13" w:tgtFrame="_blank" w:history="1">
        <w:r w:rsidRPr="00887A97">
          <w:rPr>
            <w:rFonts w:eastAsia="Times New Roman" w:cs="Arial"/>
            <w:color w:val="0066CC"/>
            <w:sz w:val="21"/>
            <w:szCs w:val="21"/>
            <w:lang w:eastAsia="en-GB"/>
          </w:rPr>
          <w:t>https://libkey.io/10.3390/brainsci16040420</w:t>
        </w:r>
      </w:hyperlink>
    </w:p>
    <w:p w14:paraId="66A82BC1" w14:textId="7ADBE43C" w:rsidR="00887A97" w:rsidRPr="00887A97" w:rsidRDefault="00887A97" w:rsidP="00887A97">
      <w:pPr>
        <w:shd w:val="clear" w:color="auto" w:fill="FFFFFF"/>
        <w:spacing w:after="173"/>
        <w:ind w:left="450" w:hanging="450"/>
        <w:rPr>
          <w:rFonts w:eastAsia="Times New Roman" w:cs="Arial"/>
          <w:color w:val="000000"/>
          <w:sz w:val="21"/>
          <w:szCs w:val="21"/>
          <w:lang w:eastAsia="en-GB"/>
        </w:rPr>
      </w:pPr>
      <w:r w:rsidRPr="00887A97">
        <w:rPr>
          <w:rFonts w:eastAsia="Times New Roman" w:cs="Arial"/>
          <w:color w:val="000000"/>
          <w:sz w:val="21"/>
          <w:szCs w:val="21"/>
          <w:lang w:eastAsia="en-GB"/>
        </w:rPr>
        <w:t xml:space="preserve">7. </w:t>
      </w:r>
      <w:r w:rsidRPr="00887A97">
        <w:rPr>
          <w:rFonts w:eastAsia="Times New Roman" w:cs="Arial"/>
          <w:b/>
          <w:bCs/>
          <w:color w:val="000000"/>
          <w:sz w:val="21"/>
          <w:szCs w:val="21"/>
          <w:lang w:eastAsia="en-GB"/>
        </w:rPr>
        <w:t>The Progressive Aphasia Communication Toolkit (PACT): a strengths-based approach to multidomain evaluation for intervention.</w:t>
      </w:r>
      <w:r w:rsidRPr="00887A97">
        <w:rPr>
          <w:rFonts w:eastAsia="Times New Roman" w:cs="Arial"/>
          <w:b/>
          <w:bCs/>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Authors:</w:t>
      </w:r>
      <w:r w:rsidRPr="00887A97">
        <w:rPr>
          <w:rFonts w:eastAsia="Times New Roman" w:cs="Arial"/>
          <w:color w:val="000000"/>
          <w:sz w:val="21"/>
          <w:szCs w:val="21"/>
          <w:lang w:eastAsia="en-GB"/>
        </w:rPr>
        <w:t xml:space="preserve"> Gallee, Jeanne;Cartwright, Jade;Henry, Maya L.;Mooney, Aimee R.;Stark, Brielle C.;Volkmer, Anna;Dietz, Aimee;Nakano, Connie;Battista, Petronilla;Beales, Ashleigh;Beber, Barbara Costa;Cadorio, Ines;Caldwell, Megan;Davies, Katharine;Ezzes, Zoe;Gauch, Mirjam;Graney, Tracey;Grobler, Simon;Haley, Katarina L.;Hausmann, Alessa, et al</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Publication Date: </w:t>
      </w:r>
      <w:r w:rsidRPr="00887A97">
        <w:rPr>
          <w:rFonts w:eastAsia="Times New Roman" w:cs="Arial"/>
          <w:color w:val="000000"/>
          <w:sz w:val="21"/>
          <w:szCs w:val="21"/>
          <w:lang w:eastAsia="en-GB"/>
        </w:rPr>
        <w:t>2026</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Journal: </w:t>
      </w:r>
      <w:r w:rsidRPr="00887A97">
        <w:rPr>
          <w:rFonts w:eastAsia="Times New Roman" w:cs="Arial"/>
          <w:color w:val="000000"/>
          <w:sz w:val="21"/>
          <w:szCs w:val="21"/>
          <w:lang w:eastAsia="en-GB"/>
        </w:rPr>
        <w:t>Alzheimer's &amp; Dementia : Diagnosis, Assessment &amp; Disease Monitoring 18</w:t>
      </w:r>
      <w:r w:rsidR="00496AE9">
        <w:rPr>
          <w:rFonts w:eastAsia="Times New Roman" w:cs="Arial"/>
          <w:color w:val="000000"/>
          <w:sz w:val="21"/>
          <w:szCs w:val="21"/>
          <w:lang w:eastAsia="en-GB"/>
        </w:rPr>
        <w:t>,</w:t>
      </w:r>
      <w:r w:rsidRPr="00887A97">
        <w:rPr>
          <w:rFonts w:eastAsia="Times New Roman" w:cs="Arial"/>
          <w:color w:val="000000"/>
          <w:sz w:val="21"/>
          <w:szCs w:val="21"/>
          <w:lang w:eastAsia="en-GB"/>
        </w:rPr>
        <w:t xml:space="preserve"> e70329</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Abstract: INTRODUCTION</w:t>
      </w:r>
      <w:r w:rsidRPr="00887A97">
        <w:rPr>
          <w:rFonts w:eastAsia="Times New Roman" w:cs="Arial"/>
          <w:color w:val="000000"/>
          <w:sz w:val="21"/>
          <w:szCs w:val="21"/>
          <w:lang w:eastAsia="en-GB"/>
        </w:rPr>
        <w:t xml:space="preserve">: Assessments of communication for people living with primary progressive aphasia (PwPPA) remain limited. This work describes the development of a strengths-based, ecologically valid instrument - the Progressive Aphasia Communication Toolkit (PACT). </w:t>
      </w:r>
      <w:r w:rsidRPr="00887A97">
        <w:rPr>
          <w:rFonts w:eastAsia="Times New Roman" w:cs="Arial"/>
          <w:b/>
          <w:bCs/>
          <w:color w:val="000000"/>
          <w:sz w:val="21"/>
          <w:szCs w:val="21"/>
          <w:lang w:eastAsia="en-GB"/>
        </w:rPr>
        <w:t>METHODS</w:t>
      </w:r>
      <w:r w:rsidRPr="00887A97">
        <w:rPr>
          <w:rFonts w:eastAsia="Times New Roman" w:cs="Arial"/>
          <w:color w:val="000000"/>
          <w:sz w:val="21"/>
          <w:szCs w:val="21"/>
          <w:lang w:eastAsia="en-GB"/>
        </w:rPr>
        <w:t xml:space="preserve">: This work consisted of five experiments: two to develop (Experiments 1 and 2) and three to pilot (Experiments 3 to 5) a novel instrument for PPA. </w:t>
      </w:r>
      <w:r w:rsidRPr="00887A97">
        <w:rPr>
          <w:rFonts w:eastAsia="Times New Roman" w:cs="Arial"/>
          <w:color w:val="000000"/>
          <w:sz w:val="21"/>
          <w:szCs w:val="21"/>
          <w:lang w:eastAsia="en-GB"/>
        </w:rPr>
        <w:lastRenderedPageBreak/>
        <w:t xml:space="preserve">Ninety-five individuals worldwide contributed to this work: 80 researchers and clinicians, nine PwPPA, and six care partners. </w:t>
      </w:r>
      <w:r w:rsidRPr="00887A97">
        <w:rPr>
          <w:rFonts w:eastAsia="Times New Roman" w:cs="Arial"/>
          <w:b/>
          <w:bCs/>
          <w:color w:val="000000"/>
          <w:sz w:val="21"/>
          <w:szCs w:val="21"/>
          <w:lang w:eastAsia="en-GB"/>
        </w:rPr>
        <w:t>RESULTS</w:t>
      </w:r>
      <w:r w:rsidRPr="00887A97">
        <w:rPr>
          <w:rFonts w:eastAsia="Times New Roman" w:cs="Arial"/>
          <w:color w:val="000000"/>
          <w:sz w:val="21"/>
          <w:szCs w:val="21"/>
          <w:lang w:eastAsia="en-GB"/>
        </w:rPr>
        <w:t xml:space="preserve">: Experiments 1 and 2 yielded a four-scale instrument comprising quantitative and qualitative feedback. Experiments 3 to 5 resulted in structural refinement and digitization of the tool, revealed strong PwPPA and care partner acceptance of the PACT, and demonstrated high inter-rater agreement for general observability (91%) and perceived communication strength (85%). </w:t>
      </w:r>
      <w:r w:rsidRPr="00887A97">
        <w:rPr>
          <w:rFonts w:eastAsia="Times New Roman" w:cs="Arial"/>
          <w:b/>
          <w:bCs/>
          <w:color w:val="000000"/>
          <w:sz w:val="21"/>
          <w:szCs w:val="21"/>
          <w:lang w:eastAsia="en-GB"/>
        </w:rPr>
        <w:t>DISCUSSION</w:t>
      </w:r>
      <w:r w:rsidRPr="00887A97">
        <w:rPr>
          <w:rFonts w:eastAsia="Times New Roman" w:cs="Arial"/>
          <w:color w:val="000000"/>
          <w:sz w:val="21"/>
          <w:szCs w:val="21"/>
          <w:lang w:eastAsia="en-GB"/>
        </w:rPr>
        <w:t xml:space="preserve">: Current findings indicate that the PACT provides a holistic profile of communication strengths for PwPPA and can guide clinicians in developing functional therapeutic targets. </w:t>
      </w:r>
      <w:r w:rsidRPr="00887A97">
        <w:rPr>
          <w:rFonts w:eastAsia="Times New Roman" w:cs="Arial"/>
          <w:b/>
          <w:bCs/>
          <w:color w:val="000000"/>
          <w:sz w:val="21"/>
          <w:szCs w:val="21"/>
          <w:lang w:eastAsia="en-GB"/>
        </w:rPr>
        <w:t>Highlights</w:t>
      </w:r>
      <w:r w:rsidRPr="00887A97">
        <w:rPr>
          <w:rFonts w:eastAsia="Times New Roman" w:cs="Arial"/>
          <w:color w:val="000000"/>
          <w:sz w:val="21"/>
          <w:szCs w:val="21"/>
          <w:lang w:eastAsia="en-GB"/>
        </w:rPr>
        <w:t>: Instruments to evaluate communicative competence in PwPPA are centered on diagnosis and impairment.Documentation of communication strengths has direct implications for person-centered care and behavioral intervention. The PACT was developed in partnership with expert clinicians, researchers, PwPPA, and care partners. The PACT captures functional, real-world communication ability through a structured conversation and provides a shared framework to describe communicative competence across disciplines.Preliminary findings support that the PACT is ecologically valid, minimally burdensome, preferred by PwPPA and care partners, and clinically feasible for clinicians and researchers.Future work will serve to develop cultural-linguistic adaptations of the PACT and investigate the instrument's validity, reliability, and feasibility as an assessment procedure for PwPPA in a larger sample.</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t>Copyright © 2026 The Author(s). Alzheimer's &amp; Dementia: Diagnosis, Assessment &amp; Disease Monitoring published by Wiley Periodicals LLC on behalf of Alzheimer's Association.</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Access or request full text: </w:t>
      </w:r>
      <w:hyperlink r:id="rId14" w:tgtFrame="_blank" w:history="1">
        <w:r w:rsidRPr="00887A97">
          <w:rPr>
            <w:rFonts w:eastAsia="Times New Roman" w:cs="Arial"/>
            <w:color w:val="0066CC"/>
            <w:sz w:val="21"/>
            <w:szCs w:val="21"/>
            <w:lang w:eastAsia="en-GB"/>
          </w:rPr>
          <w:t>https://libkey.io/10.1002/dad2.70329</w:t>
        </w:r>
      </w:hyperlink>
    </w:p>
    <w:p w14:paraId="5CA373B6" w14:textId="4E5F1166" w:rsidR="00887A97" w:rsidRPr="00887A97" w:rsidRDefault="00887A97" w:rsidP="00887A97">
      <w:pPr>
        <w:shd w:val="clear" w:color="auto" w:fill="FFFFFF"/>
        <w:spacing w:after="173"/>
        <w:ind w:left="450" w:hanging="450"/>
        <w:rPr>
          <w:rFonts w:eastAsia="Times New Roman" w:cs="Arial"/>
          <w:color w:val="000000"/>
          <w:sz w:val="21"/>
          <w:szCs w:val="21"/>
          <w:lang w:eastAsia="en-GB"/>
        </w:rPr>
      </w:pPr>
      <w:r w:rsidRPr="00887A97">
        <w:rPr>
          <w:rFonts w:eastAsia="Times New Roman" w:cs="Arial"/>
          <w:color w:val="000000"/>
          <w:sz w:val="21"/>
          <w:szCs w:val="21"/>
          <w:lang w:eastAsia="en-GB"/>
        </w:rPr>
        <w:t xml:space="preserve">8. </w:t>
      </w:r>
      <w:r w:rsidRPr="00887A97">
        <w:rPr>
          <w:rFonts w:eastAsia="Times New Roman" w:cs="Arial"/>
          <w:b/>
          <w:bCs/>
          <w:color w:val="000000"/>
          <w:sz w:val="21"/>
          <w:szCs w:val="21"/>
          <w:lang w:eastAsia="en-GB"/>
        </w:rPr>
        <w:t>"It's Hard Hard to Hard to Make It That Way. But You Gotta Make It All Different Levels": Making Aphasia Groups Work From the Perspective of People With Severe Aphasia.</w:t>
      </w:r>
      <w:r w:rsidRPr="00887A97">
        <w:rPr>
          <w:rFonts w:eastAsia="Times New Roman" w:cs="Arial"/>
          <w:b/>
          <w:bCs/>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Authors:</w:t>
      </w:r>
      <w:r w:rsidRPr="00887A97">
        <w:rPr>
          <w:rFonts w:eastAsia="Times New Roman" w:cs="Arial"/>
          <w:color w:val="000000"/>
          <w:sz w:val="21"/>
          <w:szCs w:val="21"/>
          <w:lang w:eastAsia="en-GB"/>
        </w:rPr>
        <w:t xml:space="preserve"> Gulick, Eleanor and Archer, Brent E.</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Publication Date: </w:t>
      </w:r>
      <w:r w:rsidRPr="00887A97">
        <w:rPr>
          <w:rFonts w:eastAsia="Times New Roman" w:cs="Arial"/>
          <w:color w:val="000000"/>
          <w:sz w:val="21"/>
          <w:szCs w:val="21"/>
          <w:lang w:eastAsia="en-GB"/>
        </w:rPr>
        <w:t>Aug 24 ,2026</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Journal: </w:t>
      </w:r>
      <w:r w:rsidRPr="00887A97">
        <w:rPr>
          <w:rFonts w:eastAsia="Times New Roman" w:cs="Arial"/>
          <w:color w:val="000000"/>
          <w:sz w:val="21"/>
          <w:szCs w:val="21"/>
          <w:lang w:eastAsia="en-GB"/>
        </w:rPr>
        <w:t>American Journal of Speech-Language Pathology 1-17</w:t>
      </w:r>
      <w:r w:rsidR="001C643A">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Abstract: PURPOSE</w:t>
      </w:r>
      <w:r w:rsidRPr="00887A97">
        <w:rPr>
          <w:rFonts w:eastAsia="Times New Roman" w:cs="Arial"/>
          <w:color w:val="000000"/>
          <w:sz w:val="21"/>
          <w:szCs w:val="21"/>
          <w:lang w:eastAsia="en-GB"/>
        </w:rPr>
        <w:t xml:space="preserve">: Facilitators require further guidance on best practices to support people with severe aphasia (PWSA) who attend their aphasia groups. In this study, we position PWSA as experts who can inform future research and practice patterns. The aim of this study was to explore the ideas PWSA have regarding how aphasia groups should function with a specific focus on aspects that relate to meeting their needs, given the severity of their aphasia. </w:t>
      </w:r>
      <w:r w:rsidRPr="00887A97">
        <w:rPr>
          <w:rFonts w:eastAsia="Times New Roman" w:cs="Arial"/>
          <w:b/>
          <w:bCs/>
          <w:color w:val="000000"/>
          <w:sz w:val="21"/>
          <w:szCs w:val="21"/>
          <w:lang w:eastAsia="en-GB"/>
        </w:rPr>
        <w:t>METHOD</w:t>
      </w:r>
      <w:r w:rsidRPr="00887A97">
        <w:rPr>
          <w:rFonts w:eastAsia="Times New Roman" w:cs="Arial"/>
          <w:color w:val="000000"/>
          <w:sz w:val="21"/>
          <w:szCs w:val="21"/>
          <w:lang w:eastAsia="en-GB"/>
        </w:rPr>
        <w:t xml:space="preserve">: We analyzed data from interviews with five PWSA that were completed as part of a larger project. For this study, we used qualitative content analysis with a descriptive explorative approach, grounded in a constructivist paradigm. This approach seeks low-inference interpretation to richly describe experiences, events, and processes in an accurate and easy to understand manner. </w:t>
      </w:r>
      <w:r w:rsidRPr="00887A97">
        <w:rPr>
          <w:rFonts w:eastAsia="Times New Roman" w:cs="Arial"/>
          <w:b/>
          <w:bCs/>
          <w:color w:val="000000"/>
          <w:sz w:val="21"/>
          <w:szCs w:val="21"/>
          <w:lang w:eastAsia="en-GB"/>
        </w:rPr>
        <w:t>RESULTS</w:t>
      </w:r>
      <w:r w:rsidRPr="00887A97">
        <w:rPr>
          <w:rFonts w:eastAsia="Times New Roman" w:cs="Arial"/>
          <w:color w:val="000000"/>
          <w:sz w:val="21"/>
          <w:szCs w:val="21"/>
          <w:lang w:eastAsia="en-GB"/>
        </w:rPr>
        <w:t xml:space="preserve">: Findings highlight two main categories, group makeup and supported group interaction, as key factors in the aphasia group experience for PWSA. We identified five secondary and 15 further embedded subcategories capturing how decisions and behaviors of facilitators and other group members impact the experience of PWSA in aphasia groups, as well as how varied tools are required to support them in different contexts. </w:t>
      </w:r>
      <w:r w:rsidRPr="00887A97">
        <w:rPr>
          <w:rFonts w:eastAsia="Times New Roman" w:cs="Arial"/>
          <w:b/>
          <w:bCs/>
          <w:color w:val="000000"/>
          <w:sz w:val="21"/>
          <w:szCs w:val="21"/>
          <w:lang w:eastAsia="en-GB"/>
        </w:rPr>
        <w:t>DISCUSSION</w:t>
      </w:r>
      <w:r w:rsidRPr="00887A97">
        <w:rPr>
          <w:rFonts w:eastAsia="Times New Roman" w:cs="Arial"/>
          <w:color w:val="000000"/>
          <w:sz w:val="21"/>
          <w:szCs w:val="21"/>
          <w:lang w:eastAsia="en-GB"/>
        </w:rPr>
        <w:t xml:space="preserve">: Participants' insights highlight the dynamic characteristics of aphasia groups, as they shared that specific approaches or supports should be implemented in one context while another decision should be made when the context changes. Perspectives of PWSA captured in this project provide groundwork for continued research that is informed by community members' values and needs while providing immediate insight that practicing facilitators can consider implementing in the groups with which they work. </w:t>
      </w:r>
      <w:r w:rsidRPr="00887A97">
        <w:rPr>
          <w:rFonts w:eastAsia="Times New Roman" w:cs="Arial"/>
          <w:b/>
          <w:bCs/>
          <w:color w:val="000000"/>
          <w:sz w:val="21"/>
          <w:szCs w:val="21"/>
          <w:lang w:eastAsia="en-GB"/>
        </w:rPr>
        <w:t>SUPPLEMENTAL MATERIAL</w:t>
      </w:r>
      <w:r w:rsidRPr="00887A97">
        <w:rPr>
          <w:rFonts w:eastAsia="Times New Roman" w:cs="Arial"/>
          <w:color w:val="000000"/>
          <w:sz w:val="21"/>
          <w:szCs w:val="21"/>
          <w:lang w:eastAsia="en-GB"/>
        </w:rPr>
        <w:t xml:space="preserve">: </w:t>
      </w:r>
      <w:hyperlink r:id="rId15" w:tgtFrame="_blank" w:history="1">
        <w:r w:rsidRPr="00887A97">
          <w:rPr>
            <w:rFonts w:eastAsia="Times New Roman" w:cs="Arial"/>
            <w:color w:val="0066CC"/>
            <w:sz w:val="21"/>
            <w:szCs w:val="21"/>
            <w:lang w:eastAsia="en-GB"/>
          </w:rPr>
          <w:t>https://doi.org/10.23641/asha.33230481.</w:t>
        </w:r>
      </w:hyperlink>
      <w:r w:rsidRPr="00887A97">
        <w:rPr>
          <w:rFonts w:eastAsia="Times New Roman" w:cs="Arial"/>
          <w:color w:val="000000"/>
          <w:sz w:val="21"/>
          <w:szCs w:val="21"/>
          <w:lang w:eastAsia="en-GB"/>
        </w:rPr>
        <w:br/>
      </w:r>
      <w:r w:rsidRPr="00887A97">
        <w:rPr>
          <w:rFonts w:eastAsia="Times New Roman" w:cs="Arial"/>
          <w:color w:val="000000"/>
          <w:sz w:val="21"/>
          <w:szCs w:val="21"/>
          <w:lang w:eastAsia="en-GB"/>
        </w:rPr>
        <w:lastRenderedPageBreak/>
        <w:br/>
      </w:r>
      <w:r w:rsidRPr="00887A97">
        <w:rPr>
          <w:rFonts w:eastAsia="Times New Roman" w:cs="Arial"/>
          <w:b/>
          <w:bCs/>
          <w:color w:val="000000"/>
          <w:sz w:val="21"/>
          <w:szCs w:val="21"/>
          <w:lang w:eastAsia="en-GB"/>
        </w:rPr>
        <w:t xml:space="preserve">Access or request full text: </w:t>
      </w:r>
      <w:hyperlink r:id="rId16" w:tgtFrame="_blank" w:history="1">
        <w:r w:rsidRPr="00887A97">
          <w:rPr>
            <w:rFonts w:eastAsia="Times New Roman" w:cs="Arial"/>
            <w:color w:val="0066CC"/>
            <w:sz w:val="21"/>
            <w:szCs w:val="21"/>
            <w:lang w:eastAsia="en-GB"/>
          </w:rPr>
          <w:t>https://libkey.io/10.1044/2026_AJSLP-25-00435</w:t>
        </w:r>
      </w:hyperlink>
    </w:p>
    <w:p w14:paraId="059AFCD7" w14:textId="504A5300" w:rsidR="00887A97" w:rsidRPr="00887A97" w:rsidRDefault="00887A97" w:rsidP="00887A97">
      <w:pPr>
        <w:shd w:val="clear" w:color="auto" w:fill="FFFFFF"/>
        <w:spacing w:after="173"/>
        <w:ind w:left="450" w:hanging="450"/>
        <w:rPr>
          <w:rFonts w:eastAsia="Times New Roman" w:cs="Arial"/>
          <w:color w:val="000000"/>
          <w:sz w:val="21"/>
          <w:szCs w:val="21"/>
          <w:lang w:eastAsia="en-GB"/>
        </w:rPr>
      </w:pPr>
      <w:r w:rsidRPr="00887A97">
        <w:rPr>
          <w:rFonts w:eastAsia="Times New Roman" w:cs="Arial"/>
          <w:color w:val="000000"/>
          <w:sz w:val="21"/>
          <w:szCs w:val="21"/>
          <w:lang w:eastAsia="en-GB"/>
        </w:rPr>
        <w:t xml:space="preserve">9. </w:t>
      </w:r>
      <w:r w:rsidRPr="00887A97">
        <w:rPr>
          <w:rFonts w:eastAsia="Times New Roman" w:cs="Arial"/>
          <w:b/>
          <w:bCs/>
          <w:color w:val="000000"/>
          <w:sz w:val="21"/>
          <w:szCs w:val="21"/>
          <w:lang w:eastAsia="en-GB"/>
        </w:rPr>
        <w:t>The Aphasia Physical EXercise (APEX) study: feasibility of a new high-intensity functional interval training for stroke survivors with aphasia.</w:t>
      </w:r>
      <w:r w:rsidRPr="00887A97">
        <w:rPr>
          <w:rFonts w:eastAsia="Times New Roman" w:cs="Arial"/>
          <w:b/>
          <w:bCs/>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Authors:</w:t>
      </w:r>
      <w:r w:rsidRPr="00887A97">
        <w:rPr>
          <w:rFonts w:eastAsia="Times New Roman" w:cs="Arial"/>
          <w:color w:val="000000"/>
          <w:sz w:val="21"/>
          <w:szCs w:val="21"/>
          <w:lang w:eastAsia="en-GB"/>
        </w:rPr>
        <w:t xml:space="preserve"> Ivanova, Maria V.;Gravier, Michelle;Thompson, Christian;Pitsch, Erica;Halabi, Cathra;Dronkers, Nina F.;Anderson, Vanessa and Ghafury, Ferdaus</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Publication Date: </w:t>
      </w:r>
      <w:r w:rsidRPr="00887A97">
        <w:rPr>
          <w:rFonts w:eastAsia="Times New Roman" w:cs="Arial"/>
          <w:color w:val="000000"/>
          <w:sz w:val="21"/>
          <w:szCs w:val="21"/>
          <w:lang w:eastAsia="en-GB"/>
        </w:rPr>
        <w:t>2026</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Journal: </w:t>
      </w:r>
      <w:r w:rsidRPr="00887A97">
        <w:rPr>
          <w:rFonts w:eastAsia="Times New Roman" w:cs="Arial"/>
          <w:color w:val="000000"/>
          <w:sz w:val="21"/>
          <w:szCs w:val="21"/>
          <w:lang w:eastAsia="en-GB"/>
        </w:rPr>
        <w:t>Aphasiology</w:t>
      </w:r>
      <w:r w:rsidR="001C643A">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Abstract: Background</w:t>
      </w:r>
      <w:r w:rsidRPr="00887A97">
        <w:rPr>
          <w:rFonts w:eastAsia="Times New Roman" w:cs="Arial"/>
          <w:color w:val="000000"/>
          <w:sz w:val="21"/>
          <w:szCs w:val="21"/>
          <w:lang w:eastAsia="en-GB"/>
        </w:rPr>
        <w:t xml:space="preserve">: Converging evidence suggests that physical exercise promotes motor and cognitive recovery after stroke, yet its potential to support language outcomes in people with aphasia remains largely unexplored. Additionally, there is a lack of structured, high-intensity and accessible exercise programs that foster adherence among stroke survivors. </w:t>
      </w:r>
      <w:r w:rsidRPr="00887A97">
        <w:rPr>
          <w:rFonts w:eastAsia="Times New Roman" w:cs="Arial"/>
          <w:b/>
          <w:bCs/>
          <w:color w:val="000000"/>
          <w:sz w:val="21"/>
          <w:szCs w:val="21"/>
          <w:lang w:eastAsia="en-GB"/>
        </w:rPr>
        <w:t>Aims</w:t>
      </w:r>
      <w:r w:rsidRPr="00887A97">
        <w:rPr>
          <w:rFonts w:eastAsia="Times New Roman" w:cs="Arial"/>
          <w:color w:val="000000"/>
          <w:sz w:val="21"/>
          <w:szCs w:val="21"/>
          <w:lang w:eastAsia="en-GB"/>
        </w:rPr>
        <w:t xml:space="preserve">: This pilot study evaluated the feasibility and explored the preliminary effects of a novel High-Intensity Functional Interval InterVention (HI-FIIV) program for stroke survivors with aphasia. </w:t>
      </w:r>
      <w:r w:rsidRPr="00887A97">
        <w:rPr>
          <w:rFonts w:eastAsia="Times New Roman" w:cs="Arial"/>
          <w:b/>
          <w:bCs/>
          <w:color w:val="000000"/>
          <w:sz w:val="21"/>
          <w:szCs w:val="21"/>
          <w:lang w:eastAsia="en-GB"/>
        </w:rPr>
        <w:t>Methods &amp; Procedures</w:t>
      </w:r>
      <w:r w:rsidRPr="00887A97">
        <w:rPr>
          <w:rFonts w:eastAsia="Times New Roman" w:cs="Arial"/>
          <w:color w:val="000000"/>
          <w:sz w:val="21"/>
          <w:szCs w:val="21"/>
          <w:lang w:eastAsia="en-GB"/>
        </w:rPr>
        <w:t xml:space="preserve">: This Phase 1, proof of concept, pilot feasibility study employed a single-group, pre-test/post-test observational quantitative design. Seven individuals with mild-to-moderate aphasia completed an 8-week, thrice-weekly HI-FIIV intervention. Safety, adherence, and satisfaction were documented. Pre- and post-intervention assessments included standardized measures of language, cognition, and physical fitness. </w:t>
      </w:r>
      <w:r w:rsidRPr="00887A97">
        <w:rPr>
          <w:rFonts w:eastAsia="Times New Roman" w:cs="Arial"/>
          <w:b/>
          <w:bCs/>
          <w:color w:val="000000"/>
          <w:sz w:val="21"/>
          <w:szCs w:val="21"/>
          <w:lang w:eastAsia="en-GB"/>
        </w:rPr>
        <w:t>Outcomes &amp; Results</w:t>
      </w:r>
      <w:r w:rsidRPr="00887A97">
        <w:rPr>
          <w:rFonts w:eastAsia="Times New Roman" w:cs="Arial"/>
          <w:color w:val="000000"/>
          <w:sz w:val="21"/>
          <w:szCs w:val="21"/>
          <w:lang w:eastAsia="en-GB"/>
        </w:rPr>
        <w:t xml:space="preserve">: The program was safe, well tolerated, and achieved high adherence (97.9% attendance). Participants reported high satisfaction (mean 9.6/10). Positive changes were observed on several higher-level language measures, including sentence comprehension and fluency, as well as on cognitive tasks targeting selective attention and working memory. Aerobic endurance increased significantly, and greater fitness gains were associated with larger changes in fluency and comprehension. </w:t>
      </w:r>
      <w:r w:rsidRPr="00887A97">
        <w:rPr>
          <w:rFonts w:eastAsia="Times New Roman" w:cs="Arial"/>
          <w:b/>
          <w:bCs/>
          <w:color w:val="000000"/>
          <w:sz w:val="21"/>
          <w:szCs w:val="21"/>
          <w:lang w:eastAsia="en-GB"/>
        </w:rPr>
        <w:t>Conclusions</w:t>
      </w:r>
      <w:r w:rsidRPr="00887A97">
        <w:rPr>
          <w:rFonts w:eastAsia="Times New Roman" w:cs="Arial"/>
          <w:color w:val="000000"/>
          <w:sz w:val="21"/>
          <w:szCs w:val="21"/>
          <w:lang w:eastAsia="en-GB"/>
        </w:rPr>
        <w:t>: This feasibility trial demonstrated that people with aphasia can safely participate in high-intensity group exercise and show patterns of selective improvement in language and cognition. While preliminary, the observed relationship between cardiovascular endurance and specific improvements in language suggests that exercise-induced gains in aerobic fitness may support recovery in post-stroke aphasia. Overall, by targeting physical, cognitive, and linguistic domains simultaneously, the HI-FIIV program represents a promising candidate for further investigation as an augmentative approach for post-stroke rehabilitation.</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Access or request full text: </w:t>
      </w:r>
      <w:hyperlink r:id="rId17" w:tgtFrame="_blank" w:history="1">
        <w:r w:rsidRPr="00887A97">
          <w:rPr>
            <w:rFonts w:eastAsia="Times New Roman" w:cs="Arial"/>
            <w:color w:val="0066CC"/>
            <w:sz w:val="21"/>
            <w:szCs w:val="21"/>
            <w:lang w:eastAsia="en-GB"/>
          </w:rPr>
          <w:t>https://libkey.io/10.1080/02687038.2026.2703146</w:t>
        </w:r>
      </w:hyperlink>
    </w:p>
    <w:p w14:paraId="25E270EA" w14:textId="2186ED4C" w:rsidR="00887A97" w:rsidRPr="00887A97" w:rsidRDefault="00887A97" w:rsidP="00887A97">
      <w:pPr>
        <w:shd w:val="clear" w:color="auto" w:fill="FFFFFF"/>
        <w:spacing w:after="173"/>
        <w:ind w:left="450" w:hanging="450"/>
        <w:rPr>
          <w:rFonts w:eastAsia="Times New Roman" w:cs="Arial"/>
          <w:color w:val="000000"/>
          <w:sz w:val="21"/>
          <w:szCs w:val="21"/>
          <w:lang w:eastAsia="en-GB"/>
        </w:rPr>
      </w:pPr>
      <w:r w:rsidRPr="00887A97">
        <w:rPr>
          <w:rFonts w:eastAsia="Times New Roman" w:cs="Arial"/>
          <w:color w:val="000000"/>
          <w:sz w:val="21"/>
          <w:szCs w:val="21"/>
          <w:lang w:eastAsia="en-GB"/>
        </w:rPr>
        <w:t xml:space="preserve">10. </w:t>
      </w:r>
      <w:r w:rsidRPr="00887A97">
        <w:rPr>
          <w:rFonts w:eastAsia="Times New Roman" w:cs="Arial"/>
          <w:b/>
          <w:bCs/>
          <w:color w:val="000000"/>
          <w:sz w:val="21"/>
          <w:szCs w:val="21"/>
          <w:lang w:eastAsia="en-GB"/>
        </w:rPr>
        <w:t>The speech and language therapist's role in supporting decision-making for people with aphasia: an international cross-sectional survey.</w:t>
      </w:r>
      <w:r w:rsidRPr="00887A97">
        <w:rPr>
          <w:rFonts w:eastAsia="Times New Roman" w:cs="Arial"/>
          <w:b/>
          <w:bCs/>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Authors:</w:t>
      </w:r>
      <w:r w:rsidRPr="00887A97">
        <w:rPr>
          <w:rFonts w:eastAsia="Times New Roman" w:cs="Arial"/>
          <w:color w:val="000000"/>
          <w:sz w:val="21"/>
          <w:szCs w:val="21"/>
          <w:lang w:eastAsia="en-GB"/>
        </w:rPr>
        <w:t xml:space="preserve"> Jayes, Mark;Wong, Winsy Wing-Sze;Stipinovich, Alexandra;Shumway, Elyse;Rotherham, Annette;Pais, Analisa Marie;Matos, Maria Assuncao;Larkin, Elissa;Kong, Anthony Pak-Hin;Karpathiou, Nomiki;Isaksen, Jytte Kjaergaard;Brinkley, Virginia and Volkmer, Anna</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Publication Date: </w:t>
      </w:r>
      <w:r w:rsidRPr="00887A97">
        <w:rPr>
          <w:rFonts w:eastAsia="Times New Roman" w:cs="Arial"/>
          <w:color w:val="000000"/>
          <w:sz w:val="21"/>
          <w:szCs w:val="21"/>
          <w:lang w:eastAsia="en-GB"/>
        </w:rPr>
        <w:t>May 10 ,2026</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Journal: </w:t>
      </w:r>
      <w:r w:rsidRPr="00887A97">
        <w:rPr>
          <w:rFonts w:eastAsia="Times New Roman" w:cs="Arial"/>
          <w:color w:val="000000"/>
          <w:sz w:val="21"/>
          <w:szCs w:val="21"/>
          <w:lang w:eastAsia="en-GB"/>
        </w:rPr>
        <w:t>Disability &amp; Rehabilitation 1-23</w:t>
      </w:r>
      <w:r w:rsidR="001C643A">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Abstract: PURPOSE</w:t>
      </w:r>
      <w:r w:rsidRPr="00887A97">
        <w:rPr>
          <w:rFonts w:eastAsia="Times New Roman" w:cs="Arial"/>
          <w:color w:val="000000"/>
          <w:sz w:val="21"/>
          <w:szCs w:val="21"/>
          <w:lang w:eastAsia="en-GB"/>
        </w:rPr>
        <w:t xml:space="preserve">: This is the first study to describe how speech and language therapists (SLTs) support people with aphasia during decision-making conversations and mental capacity assessments across countries. </w:t>
      </w:r>
      <w:r w:rsidRPr="00887A97">
        <w:rPr>
          <w:rFonts w:eastAsia="Times New Roman" w:cs="Arial"/>
          <w:b/>
          <w:bCs/>
          <w:color w:val="000000"/>
          <w:sz w:val="21"/>
          <w:szCs w:val="21"/>
          <w:lang w:eastAsia="en-GB"/>
        </w:rPr>
        <w:t>METHODS</w:t>
      </w:r>
      <w:r w:rsidRPr="00887A97">
        <w:rPr>
          <w:rFonts w:eastAsia="Times New Roman" w:cs="Arial"/>
          <w:color w:val="000000"/>
          <w:sz w:val="21"/>
          <w:szCs w:val="21"/>
          <w:lang w:eastAsia="en-GB"/>
        </w:rPr>
        <w:t xml:space="preserve">: Convergent mixed methods design involving a descriptive, cross-sectional online survey. The survey was disseminated via social media and professional networks across the six World Health Organisation </w:t>
      </w:r>
      <w:r w:rsidRPr="00887A97">
        <w:rPr>
          <w:rFonts w:eastAsia="Times New Roman" w:cs="Arial"/>
          <w:color w:val="000000"/>
          <w:sz w:val="21"/>
          <w:szCs w:val="21"/>
          <w:lang w:eastAsia="en-GB"/>
        </w:rPr>
        <w:lastRenderedPageBreak/>
        <w:t xml:space="preserve">Regions. Data were analysed using descriptive statistics and qualitative content analysis. </w:t>
      </w:r>
      <w:r w:rsidRPr="00887A97">
        <w:rPr>
          <w:rFonts w:eastAsia="Times New Roman" w:cs="Arial"/>
          <w:b/>
          <w:bCs/>
          <w:color w:val="000000"/>
          <w:sz w:val="21"/>
          <w:szCs w:val="21"/>
          <w:lang w:eastAsia="en-GB"/>
        </w:rPr>
        <w:t>RESULTS</w:t>
      </w:r>
      <w:r w:rsidRPr="00887A97">
        <w:rPr>
          <w:rFonts w:eastAsia="Times New Roman" w:cs="Arial"/>
          <w:color w:val="000000"/>
          <w:sz w:val="21"/>
          <w:szCs w:val="21"/>
          <w:lang w:eastAsia="en-GB"/>
        </w:rPr>
        <w:t xml:space="preserve">: One hundred ninety-five SLTs from 32 countries responded. Most respondents, especially those working in inpatient settings, had supported people with aphasia to make decisions as part of a general conversation or had enabled other professionals to provide decision-making support, including during capacity assessments. Fewer had been involved directly in capacity assessments. To do this work, respondents made use of different resources and methods to facilitate communication about decisions and information and practical support from family members and other professionals. Respondents identified a range of barriers and facilitators to practice, relating to multidisciplinary collaboration, the scope of practice for the SLT role, and access to sufficient time, education and guidance. </w:t>
      </w:r>
      <w:r w:rsidRPr="00887A97">
        <w:rPr>
          <w:rFonts w:eastAsia="Times New Roman" w:cs="Arial"/>
          <w:b/>
          <w:bCs/>
          <w:color w:val="000000"/>
          <w:sz w:val="21"/>
          <w:szCs w:val="21"/>
          <w:lang w:eastAsia="en-GB"/>
        </w:rPr>
        <w:t>CONCLUSIONS</w:t>
      </w:r>
      <w:r w:rsidRPr="00887A97">
        <w:rPr>
          <w:rFonts w:eastAsia="Times New Roman" w:cs="Arial"/>
          <w:color w:val="000000"/>
          <w:sz w:val="21"/>
          <w:szCs w:val="21"/>
          <w:lang w:eastAsia="en-GB"/>
        </w:rPr>
        <w:t>: Across countries, decision-making support for people with aphasia varies. Future research should explore clinical pathways and multidisciplinary training that might facilitate decision-making support for this group. Implications for rehabilitation</w:t>
      </w:r>
      <w:r w:rsidR="001C643A">
        <w:rPr>
          <w:rFonts w:eastAsia="Times New Roman" w:cs="Arial"/>
          <w:color w:val="000000"/>
          <w:sz w:val="21"/>
          <w:szCs w:val="21"/>
          <w:lang w:eastAsia="en-GB"/>
        </w:rPr>
        <w:t xml:space="preserve"> </w:t>
      </w:r>
      <w:r w:rsidRPr="00887A97">
        <w:rPr>
          <w:rFonts w:eastAsia="Times New Roman" w:cs="Arial"/>
          <w:color w:val="000000"/>
          <w:sz w:val="21"/>
          <w:szCs w:val="21"/>
          <w:lang w:eastAsia="en-GB"/>
        </w:rPr>
        <w:t>This study is the first to investigate how speech and language therapists (SLTs) around the world support people with aphasia to make decisions and take part in mental capacity assessments. There are barriers to SLTs being able to provide this support, for example, other disciplines not seeking their involvement in decision-making processes.</w:t>
      </w:r>
      <w:r w:rsidR="001C643A">
        <w:rPr>
          <w:rFonts w:eastAsia="Times New Roman" w:cs="Arial"/>
          <w:color w:val="000000"/>
          <w:sz w:val="21"/>
          <w:szCs w:val="21"/>
          <w:lang w:eastAsia="en-GB"/>
        </w:rPr>
        <w:t xml:space="preserve"> </w:t>
      </w:r>
      <w:r w:rsidRPr="00887A97">
        <w:rPr>
          <w:rFonts w:eastAsia="Times New Roman" w:cs="Arial"/>
          <w:color w:val="000000"/>
          <w:sz w:val="21"/>
          <w:szCs w:val="21"/>
          <w:lang w:eastAsia="en-GB"/>
        </w:rPr>
        <w:t>When people with aphasia do not receive communication support to engage in decision-making, rehabilitation and care processes are less likely to be patient-centred.</w:t>
      </w:r>
      <w:r w:rsidR="001C643A">
        <w:rPr>
          <w:rFonts w:eastAsia="Times New Roman" w:cs="Arial"/>
          <w:color w:val="000000"/>
          <w:sz w:val="21"/>
          <w:szCs w:val="21"/>
          <w:lang w:eastAsia="en-GB"/>
        </w:rPr>
        <w:t xml:space="preserve"> </w:t>
      </w:r>
      <w:r w:rsidRPr="00887A97">
        <w:rPr>
          <w:rFonts w:eastAsia="Times New Roman" w:cs="Arial"/>
          <w:color w:val="000000"/>
          <w:sz w:val="21"/>
          <w:szCs w:val="21"/>
          <w:lang w:eastAsia="en-GB"/>
        </w:rPr>
        <w:t>Providing education to the multidisciplinary team about communication disability, decision-making and the SLT role and improved collaborative working processes may enable more people with aphasia to receive support.</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Access or request full text: </w:t>
      </w:r>
      <w:hyperlink r:id="rId18" w:tgtFrame="_blank" w:history="1">
        <w:r w:rsidRPr="00887A97">
          <w:rPr>
            <w:rFonts w:eastAsia="Times New Roman" w:cs="Arial"/>
            <w:color w:val="0066CC"/>
            <w:sz w:val="21"/>
            <w:szCs w:val="21"/>
            <w:lang w:eastAsia="en-GB"/>
          </w:rPr>
          <w:t>https://libkey.io/10.1080/09638288.2026.2662096</w:t>
        </w:r>
      </w:hyperlink>
    </w:p>
    <w:p w14:paraId="7B128C4F" w14:textId="12D42BFD" w:rsidR="00887A97" w:rsidRPr="00887A97" w:rsidRDefault="00887A97" w:rsidP="00887A97">
      <w:pPr>
        <w:shd w:val="clear" w:color="auto" w:fill="FFFFFF"/>
        <w:spacing w:after="173"/>
        <w:ind w:left="450" w:hanging="450"/>
        <w:rPr>
          <w:rFonts w:eastAsia="Times New Roman" w:cs="Arial"/>
          <w:color w:val="000000"/>
          <w:sz w:val="21"/>
          <w:szCs w:val="21"/>
          <w:lang w:eastAsia="en-GB"/>
        </w:rPr>
      </w:pPr>
      <w:r w:rsidRPr="00887A97">
        <w:rPr>
          <w:rFonts w:eastAsia="Times New Roman" w:cs="Arial"/>
          <w:color w:val="000000"/>
          <w:sz w:val="21"/>
          <w:szCs w:val="21"/>
          <w:lang w:eastAsia="en-GB"/>
        </w:rPr>
        <w:t xml:space="preserve">11. </w:t>
      </w:r>
      <w:r w:rsidRPr="00887A97">
        <w:rPr>
          <w:rFonts w:eastAsia="Times New Roman" w:cs="Arial"/>
          <w:b/>
          <w:bCs/>
          <w:color w:val="000000"/>
          <w:sz w:val="21"/>
          <w:szCs w:val="21"/>
          <w:lang w:eastAsia="en-GB"/>
        </w:rPr>
        <w:t>Beyond the Plateau: Repeated Treatment Opportunities Are Associated with Improved Naming in Chronic Post-Stroke Aphasia.</w:t>
      </w:r>
      <w:r w:rsidRPr="00887A97">
        <w:rPr>
          <w:rFonts w:eastAsia="Times New Roman" w:cs="Arial"/>
          <w:b/>
          <w:bCs/>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Authors:</w:t>
      </w:r>
      <w:r w:rsidRPr="00887A97">
        <w:rPr>
          <w:rFonts w:eastAsia="Times New Roman" w:cs="Arial"/>
          <w:color w:val="000000"/>
          <w:sz w:val="21"/>
          <w:szCs w:val="21"/>
          <w:lang w:eastAsia="en-GB"/>
        </w:rPr>
        <w:t xml:space="preserve"> Kristinsson, Sigfus;Coolsen, Sophia;Ahmadi, Saeed and Bonilha, Leonardo</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Publication Date: </w:t>
      </w:r>
      <w:r w:rsidRPr="00887A97">
        <w:rPr>
          <w:rFonts w:eastAsia="Times New Roman" w:cs="Arial"/>
          <w:color w:val="000000"/>
          <w:sz w:val="21"/>
          <w:szCs w:val="21"/>
          <w:lang w:eastAsia="en-GB"/>
        </w:rPr>
        <w:t>Aug 25 ,2026</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Journal: </w:t>
      </w:r>
      <w:r w:rsidRPr="00887A97">
        <w:rPr>
          <w:rFonts w:eastAsia="Times New Roman" w:cs="Arial"/>
          <w:color w:val="000000"/>
          <w:sz w:val="21"/>
          <w:szCs w:val="21"/>
          <w:lang w:eastAsia="en-GB"/>
        </w:rPr>
        <w:t>Brain Sciences 16(9)</w:t>
      </w:r>
      <w:r w:rsidR="001C643A">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Abstract: Background/Objectives</w:t>
      </w:r>
      <w:r w:rsidRPr="00887A97">
        <w:rPr>
          <w:rFonts w:eastAsia="Times New Roman" w:cs="Arial"/>
          <w:color w:val="000000"/>
          <w:sz w:val="21"/>
          <w:szCs w:val="21"/>
          <w:lang w:eastAsia="en-GB"/>
        </w:rPr>
        <w:t xml:space="preserve">: Speech-language treatment improves recovery in chronic post-stroke aphasia, but whether individuals continue to benefit from repeated treatment exposure remains unclear. We tested whether successive treatment episodes were associated with continued naming improvement and whether gains were reduced in later episodes relative to earlier episodes. </w:t>
      </w:r>
      <w:r w:rsidRPr="00887A97">
        <w:rPr>
          <w:rFonts w:eastAsia="Times New Roman" w:cs="Arial"/>
          <w:b/>
          <w:bCs/>
          <w:color w:val="000000"/>
          <w:sz w:val="21"/>
          <w:szCs w:val="21"/>
          <w:lang w:eastAsia="en-GB"/>
        </w:rPr>
        <w:t>Methods</w:t>
      </w:r>
      <w:r w:rsidRPr="00887A97">
        <w:rPr>
          <w:rFonts w:eastAsia="Times New Roman" w:cs="Arial"/>
          <w:color w:val="000000"/>
          <w:sz w:val="21"/>
          <w:szCs w:val="21"/>
          <w:lang w:eastAsia="en-GB"/>
        </w:rPr>
        <w:t xml:space="preserve">: We analyzed retrospective longitudinal data from 35 participants with post-stroke aphasia who completed at least two aphasia treatment studies. Philadelphia Naming Test scores were obtained before and after each treatment study. The primary analysis used a linear mixed-effects model with fixed effects for timepoint, treatment study, and their interaction, with random intercepts for participants and participant-specific treatment studies. Secondary analyses examined candidate predictors and compared within-treatment with between-treatment change while accounting for elapsed time. </w:t>
      </w:r>
      <w:r w:rsidRPr="00887A97">
        <w:rPr>
          <w:rFonts w:eastAsia="Times New Roman" w:cs="Arial"/>
          <w:b/>
          <w:bCs/>
          <w:color w:val="000000"/>
          <w:sz w:val="21"/>
          <w:szCs w:val="21"/>
          <w:lang w:eastAsia="en-GB"/>
        </w:rPr>
        <w:t>Results</w:t>
      </w:r>
      <w:r w:rsidRPr="00887A97">
        <w:rPr>
          <w:rFonts w:eastAsia="Times New Roman" w:cs="Arial"/>
          <w:color w:val="000000"/>
          <w:sz w:val="21"/>
          <w:szCs w:val="21"/>
          <w:lang w:eastAsia="en-GB"/>
        </w:rPr>
        <w:t xml:space="preserve">: Naming improved significantly from pre- to post-treatment across studies 1-3 (estimated mean gain = 5.56 points, 95% CI [3.44, 7.67], </w:t>
      </w:r>
      <w:r w:rsidRPr="00887A97">
        <w:rPr>
          <w:rFonts w:eastAsia="Times New Roman" w:cs="Arial"/>
          <w:i/>
          <w:iCs/>
          <w:color w:val="000000"/>
          <w:sz w:val="21"/>
          <w:szCs w:val="21"/>
          <w:lang w:eastAsia="en-GB"/>
        </w:rPr>
        <w:t>p</w:t>
      </w:r>
      <w:r w:rsidRPr="00887A97">
        <w:rPr>
          <w:rFonts w:eastAsia="Times New Roman" w:cs="Arial"/>
          <w:color w:val="000000"/>
          <w:sz w:val="21"/>
          <w:szCs w:val="21"/>
          <w:lang w:eastAsia="en-GB"/>
        </w:rPr>
        <w:t xml:space="preserve"> </w:t>
      </w:r>
      <w:r w:rsidRPr="00887A97">
        <w:rPr>
          <w:rFonts w:eastAsia="Times New Roman" w:cs="Arial"/>
          <w:i/>
          <w:iCs/>
          <w:color w:val="000000"/>
          <w:sz w:val="21"/>
          <w:szCs w:val="21"/>
          <w:lang w:eastAsia="en-GB"/>
        </w:rPr>
        <w:t>p</w:t>
      </w:r>
      <w:r w:rsidRPr="00887A97">
        <w:rPr>
          <w:rFonts w:eastAsia="Times New Roman" w:cs="Arial"/>
          <w:color w:val="000000"/>
          <w:sz w:val="21"/>
          <w:szCs w:val="21"/>
          <w:lang w:eastAsia="en-GB"/>
        </w:rPr>
        <w:t xml:space="preserve"> = 0.384), providing no evidence that gains were attenuated across successive studies. Naming improved faster during treatment than between treatments (adjusted difference = 2.18 points per 30 days, </w:t>
      </w:r>
      <w:r w:rsidRPr="00887A97">
        <w:rPr>
          <w:rFonts w:eastAsia="Times New Roman" w:cs="Arial"/>
          <w:i/>
          <w:iCs/>
          <w:color w:val="000000"/>
          <w:sz w:val="21"/>
          <w:szCs w:val="21"/>
          <w:lang w:eastAsia="en-GB"/>
        </w:rPr>
        <w:t>p</w:t>
      </w:r>
      <w:r w:rsidRPr="00887A97">
        <w:rPr>
          <w:rFonts w:eastAsia="Times New Roman" w:cs="Arial"/>
          <w:color w:val="000000"/>
          <w:sz w:val="21"/>
          <w:szCs w:val="21"/>
          <w:lang w:eastAsia="en-GB"/>
        </w:rPr>
        <w:t xml:space="preserve"> = 0.013). </w:t>
      </w:r>
      <w:r w:rsidRPr="00887A97">
        <w:rPr>
          <w:rFonts w:eastAsia="Times New Roman" w:cs="Arial"/>
          <w:b/>
          <w:bCs/>
          <w:color w:val="000000"/>
          <w:sz w:val="21"/>
          <w:szCs w:val="21"/>
          <w:lang w:eastAsia="en-GB"/>
        </w:rPr>
        <w:t>Conclusions</w:t>
      </w:r>
      <w:r w:rsidRPr="00887A97">
        <w:rPr>
          <w:rFonts w:eastAsia="Times New Roman" w:cs="Arial"/>
          <w:color w:val="000000"/>
          <w:sz w:val="21"/>
          <w:szCs w:val="21"/>
          <w:lang w:eastAsia="en-GB"/>
        </w:rPr>
        <w:t>: Repeated treatment opportunities were associated with continued naming improvement in chronic post-stroke aphasia, supporting a longitudinal view of aphasia rehabilitation.</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Access or request full text: </w:t>
      </w:r>
      <w:hyperlink r:id="rId19" w:tgtFrame="_blank" w:history="1">
        <w:r w:rsidRPr="00887A97">
          <w:rPr>
            <w:rFonts w:eastAsia="Times New Roman" w:cs="Arial"/>
            <w:color w:val="0066CC"/>
            <w:sz w:val="21"/>
            <w:szCs w:val="21"/>
            <w:lang w:eastAsia="en-GB"/>
          </w:rPr>
          <w:t>https://libkey.io/10.3390/brainsci16090905</w:t>
        </w:r>
      </w:hyperlink>
    </w:p>
    <w:p w14:paraId="119DA199" w14:textId="558CBA4E" w:rsidR="00887A97" w:rsidRPr="00887A97" w:rsidRDefault="00887A97" w:rsidP="00887A97">
      <w:pPr>
        <w:shd w:val="clear" w:color="auto" w:fill="FFFFFF"/>
        <w:spacing w:after="173"/>
        <w:ind w:left="450" w:hanging="450"/>
        <w:rPr>
          <w:rFonts w:eastAsia="Times New Roman" w:cs="Arial"/>
          <w:color w:val="000000"/>
          <w:sz w:val="21"/>
          <w:szCs w:val="21"/>
          <w:lang w:eastAsia="en-GB"/>
        </w:rPr>
      </w:pPr>
      <w:r w:rsidRPr="00887A97">
        <w:rPr>
          <w:rFonts w:eastAsia="Times New Roman" w:cs="Arial"/>
          <w:color w:val="000000"/>
          <w:sz w:val="21"/>
          <w:szCs w:val="21"/>
          <w:lang w:eastAsia="en-GB"/>
        </w:rPr>
        <w:t xml:space="preserve">12. </w:t>
      </w:r>
      <w:r w:rsidRPr="00887A97">
        <w:rPr>
          <w:rFonts w:eastAsia="Times New Roman" w:cs="Arial"/>
          <w:b/>
          <w:bCs/>
          <w:color w:val="000000"/>
          <w:sz w:val="21"/>
          <w:szCs w:val="21"/>
          <w:lang w:eastAsia="en-GB"/>
        </w:rPr>
        <w:t>Rehabilitation interventions for Wernicke's aphasia and related fluent aphasia: A systematic review of randomized controlled trials.</w:t>
      </w:r>
      <w:r w:rsidRPr="00887A97">
        <w:rPr>
          <w:rFonts w:eastAsia="Times New Roman" w:cs="Arial"/>
          <w:b/>
          <w:bCs/>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Authors:</w:t>
      </w:r>
      <w:r w:rsidRPr="00887A97">
        <w:rPr>
          <w:rFonts w:eastAsia="Times New Roman" w:cs="Arial"/>
          <w:color w:val="000000"/>
          <w:sz w:val="21"/>
          <w:szCs w:val="21"/>
          <w:lang w:eastAsia="en-GB"/>
        </w:rPr>
        <w:t xml:space="preserve"> Lazzari, F.;Scalinci, F.;Morelli, F. and Verrienti, G.</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lastRenderedPageBreak/>
        <w:br/>
      </w:r>
      <w:r w:rsidRPr="00887A97">
        <w:rPr>
          <w:rFonts w:eastAsia="Times New Roman" w:cs="Arial"/>
          <w:b/>
          <w:bCs/>
          <w:color w:val="000000"/>
          <w:sz w:val="21"/>
          <w:szCs w:val="21"/>
          <w:lang w:eastAsia="en-GB"/>
        </w:rPr>
        <w:t xml:space="preserve">Publication Date: </w:t>
      </w:r>
      <w:r w:rsidRPr="00887A97">
        <w:rPr>
          <w:rFonts w:eastAsia="Times New Roman" w:cs="Arial"/>
          <w:color w:val="000000"/>
          <w:sz w:val="21"/>
          <w:szCs w:val="21"/>
          <w:lang w:eastAsia="en-GB"/>
        </w:rPr>
        <w:t>Aug 21 ,2026</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Journal: </w:t>
      </w:r>
      <w:r w:rsidRPr="00887A97">
        <w:rPr>
          <w:rFonts w:eastAsia="Times New Roman" w:cs="Arial"/>
          <w:color w:val="000000"/>
          <w:sz w:val="21"/>
          <w:szCs w:val="21"/>
          <w:lang w:eastAsia="en-GB"/>
        </w:rPr>
        <w:t>Neurological Sciences 47(9)</w:t>
      </w:r>
      <w:r w:rsidR="001C643A">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Abstract: BACKGROUND</w:t>
      </w:r>
      <w:r w:rsidRPr="00887A97">
        <w:rPr>
          <w:rFonts w:eastAsia="Times New Roman" w:cs="Arial"/>
          <w:color w:val="000000"/>
          <w:sz w:val="21"/>
          <w:szCs w:val="21"/>
          <w:lang w:eastAsia="en-GB"/>
        </w:rPr>
        <w:t xml:space="preserve">: Wernicke's aphasia is a fluent aphasia syndrome characterized by impaired auditory comprehension and paraphasic speech, typically resulting from lesions affecting temporo-parietal language networks. Evidence regarding effective therapeutic approaches for Wernicke's aphasia remains relatively limited. </w:t>
      </w:r>
      <w:r w:rsidRPr="00887A97">
        <w:rPr>
          <w:rFonts w:eastAsia="Times New Roman" w:cs="Arial"/>
          <w:b/>
          <w:bCs/>
          <w:color w:val="000000"/>
          <w:sz w:val="21"/>
          <w:szCs w:val="21"/>
          <w:lang w:eastAsia="en-GB"/>
        </w:rPr>
        <w:t>OBJECTIVE</w:t>
      </w:r>
      <w:r w:rsidRPr="00887A97">
        <w:rPr>
          <w:rFonts w:eastAsia="Times New Roman" w:cs="Arial"/>
          <w:color w:val="000000"/>
          <w:sz w:val="21"/>
          <w:szCs w:val="21"/>
          <w:lang w:eastAsia="en-GB"/>
        </w:rPr>
        <w:t xml:space="preserve">: To systematically review randomized controlled trials evaluating rehabilitation interventions for individuals with Wernicke's aphasia or related fluent aphasia syndromes associated with auditory comprehension impairment. </w:t>
      </w:r>
      <w:r w:rsidRPr="00887A97">
        <w:rPr>
          <w:rFonts w:eastAsia="Times New Roman" w:cs="Arial"/>
          <w:b/>
          <w:bCs/>
          <w:color w:val="000000"/>
          <w:sz w:val="21"/>
          <w:szCs w:val="21"/>
          <w:lang w:eastAsia="en-GB"/>
        </w:rPr>
        <w:t>METHODS</w:t>
      </w:r>
      <w:r w:rsidRPr="00887A97">
        <w:rPr>
          <w:rFonts w:eastAsia="Times New Roman" w:cs="Arial"/>
          <w:color w:val="000000"/>
          <w:sz w:val="21"/>
          <w:szCs w:val="21"/>
          <w:lang w:eastAsia="en-GB"/>
        </w:rPr>
        <w:t xml:space="preserve">: A systematic literature search was conducted in PubMed, Cochrane Library, and Google Scholar for randomized controlled trials published between 2011 and December 2025. Studies were included if they investigated behavioral, technological, or neuromodulatory interventions aimed at improving language or communication outcomes in adults with Wernicke's or fluent aphasia. Study selection followed PRISMA guidelines. Methodological quality was assessed using the Cochrane Risk of Bias 2 tool. </w:t>
      </w:r>
      <w:r w:rsidRPr="00887A97">
        <w:rPr>
          <w:rFonts w:eastAsia="Times New Roman" w:cs="Arial"/>
          <w:b/>
          <w:bCs/>
          <w:color w:val="000000"/>
          <w:sz w:val="21"/>
          <w:szCs w:val="21"/>
          <w:lang w:eastAsia="en-GB"/>
        </w:rPr>
        <w:t>RESULTS</w:t>
      </w:r>
      <w:r w:rsidRPr="00887A97">
        <w:rPr>
          <w:rFonts w:eastAsia="Times New Roman" w:cs="Arial"/>
          <w:color w:val="000000"/>
          <w:sz w:val="21"/>
          <w:szCs w:val="21"/>
          <w:lang w:eastAsia="en-GB"/>
        </w:rPr>
        <w:t xml:space="preserve">: Six randomized controlled trials involving 105 participants met the inclusion criteria. Interventions included intensive behavioral language therapy, phonological or semantic training, and adjunctive neuromodulatory approaches such as transcranial direct current stimulation. Overall, most studies reported improvements in auditory comprehension, lexical processing, and language performance following rehabilitation interventions. However, considerable heterogeneity in intervention protocols, outcome measures, and sample characteristics limited direct comparability across trials. </w:t>
      </w:r>
      <w:r w:rsidRPr="00887A97">
        <w:rPr>
          <w:rFonts w:eastAsia="Times New Roman" w:cs="Arial"/>
          <w:b/>
          <w:bCs/>
          <w:color w:val="000000"/>
          <w:sz w:val="21"/>
          <w:szCs w:val="21"/>
          <w:lang w:eastAsia="en-GB"/>
        </w:rPr>
        <w:t>CONCLUSIONS</w:t>
      </w:r>
      <w:r w:rsidRPr="00887A97">
        <w:rPr>
          <w:rFonts w:eastAsia="Times New Roman" w:cs="Arial"/>
          <w:color w:val="000000"/>
          <w:sz w:val="21"/>
          <w:szCs w:val="21"/>
          <w:lang w:eastAsia="en-GB"/>
        </w:rPr>
        <w:t>: Available evidence suggests that both intensive language therapy and neuromodulatory interventions may support language recovery in Wernicke's aphasia. Nevertheless, larger and methodologically robust trials are needed to establish optimal rehabilitation strategies and clarify predictors of treatment response.</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t>Copyright © 2026. Fondazione Societa Italiana di Neurologia.</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Access or request full text: </w:t>
      </w:r>
      <w:hyperlink r:id="rId20" w:tgtFrame="_blank" w:history="1">
        <w:r w:rsidRPr="00887A97">
          <w:rPr>
            <w:rFonts w:eastAsia="Times New Roman" w:cs="Arial"/>
            <w:color w:val="0066CC"/>
            <w:sz w:val="21"/>
            <w:szCs w:val="21"/>
            <w:lang w:eastAsia="en-GB"/>
          </w:rPr>
          <w:t>https://libkey.io/10.1007/s10072-026-09335-3</w:t>
        </w:r>
      </w:hyperlink>
    </w:p>
    <w:p w14:paraId="674D1776" w14:textId="79DA28AA" w:rsidR="00887A97" w:rsidRPr="00887A97" w:rsidRDefault="00887A97" w:rsidP="00887A97">
      <w:pPr>
        <w:shd w:val="clear" w:color="auto" w:fill="FFFFFF"/>
        <w:spacing w:after="173"/>
        <w:ind w:left="450" w:hanging="450"/>
        <w:rPr>
          <w:rFonts w:eastAsia="Times New Roman" w:cs="Arial"/>
          <w:color w:val="000000"/>
          <w:sz w:val="21"/>
          <w:szCs w:val="21"/>
          <w:lang w:eastAsia="en-GB"/>
        </w:rPr>
      </w:pPr>
      <w:r w:rsidRPr="00887A97">
        <w:rPr>
          <w:rFonts w:eastAsia="Times New Roman" w:cs="Arial"/>
          <w:color w:val="000000"/>
          <w:sz w:val="21"/>
          <w:szCs w:val="21"/>
          <w:lang w:eastAsia="en-GB"/>
        </w:rPr>
        <w:t xml:space="preserve">13. </w:t>
      </w:r>
      <w:r w:rsidRPr="00887A97">
        <w:rPr>
          <w:rFonts w:eastAsia="Times New Roman" w:cs="Arial"/>
          <w:b/>
          <w:bCs/>
          <w:color w:val="000000"/>
          <w:sz w:val="21"/>
          <w:szCs w:val="21"/>
          <w:lang w:eastAsia="en-GB"/>
        </w:rPr>
        <w:t>Transcranial Magnetic Stimulation Combined with Speech-Language Therapy for Post-Stroke Aphasia Recovery: A Systematic Review and Network Meta-Analysis</w:t>
      </w:r>
      <w:r w:rsidRPr="00887A97">
        <w:rPr>
          <w:rFonts w:eastAsia="Times New Roman" w:cs="Arial"/>
          <w:b/>
          <w:bCs/>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Authors:</w:t>
      </w:r>
      <w:r w:rsidRPr="00887A97">
        <w:rPr>
          <w:rFonts w:eastAsia="Times New Roman" w:cs="Arial"/>
          <w:color w:val="000000"/>
          <w:sz w:val="21"/>
          <w:szCs w:val="21"/>
          <w:lang w:eastAsia="en-GB"/>
        </w:rPr>
        <w:t xml:space="preserve"> Lin, Jine;Bao, Yangjuan;Fang, Min and Zhang, Huafang</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Publication Date: </w:t>
      </w:r>
      <w:r w:rsidRPr="00887A97">
        <w:rPr>
          <w:rFonts w:eastAsia="Times New Roman" w:cs="Arial"/>
          <w:color w:val="000000"/>
          <w:sz w:val="21"/>
          <w:szCs w:val="21"/>
          <w:lang w:eastAsia="en-GB"/>
        </w:rPr>
        <w:t>2026</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Journal: </w:t>
      </w:r>
      <w:r w:rsidRPr="00887A97">
        <w:rPr>
          <w:rFonts w:eastAsia="Times New Roman" w:cs="Arial"/>
          <w:color w:val="000000"/>
          <w:sz w:val="21"/>
          <w:szCs w:val="21"/>
          <w:lang w:eastAsia="en-GB"/>
        </w:rPr>
        <w:t>Therapeutics &amp; Clinical Risk Management 22, pp. 597978</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Abstract: Background</w:t>
      </w:r>
      <w:r w:rsidRPr="00887A97">
        <w:rPr>
          <w:rFonts w:eastAsia="Times New Roman" w:cs="Arial"/>
          <w:color w:val="000000"/>
          <w:sz w:val="21"/>
          <w:szCs w:val="21"/>
          <w:lang w:eastAsia="en-GB"/>
        </w:rPr>
        <w:t xml:space="preserve">: Speech-language therapy (SLT) is standard care for post-stroke aphasia (PSA), and adjunctive transcranial magnetic stimulation (TMS) may further improve language function. Which TMS protocol optimally complements SLT for which language domain at which time point remains unresolved, motivating this network meta-analysis. </w:t>
      </w:r>
      <w:r w:rsidRPr="00887A97">
        <w:rPr>
          <w:rFonts w:eastAsia="Times New Roman" w:cs="Arial"/>
          <w:b/>
          <w:bCs/>
          <w:color w:val="000000"/>
          <w:sz w:val="21"/>
          <w:szCs w:val="21"/>
          <w:lang w:eastAsia="en-GB"/>
        </w:rPr>
        <w:t>Objective</w:t>
      </w:r>
      <w:r w:rsidRPr="00887A97">
        <w:rPr>
          <w:rFonts w:eastAsia="Times New Roman" w:cs="Arial"/>
          <w:color w:val="000000"/>
          <w:sz w:val="21"/>
          <w:szCs w:val="21"/>
          <w:lang w:eastAsia="en-GB"/>
        </w:rPr>
        <w:t xml:space="preserve">: To compare TMS protocols combined with SLT across immediate and long-term language outcomes in post-stroke aphasia. </w:t>
      </w:r>
      <w:r w:rsidRPr="00887A97">
        <w:rPr>
          <w:rFonts w:eastAsia="Times New Roman" w:cs="Arial"/>
          <w:b/>
          <w:bCs/>
          <w:color w:val="000000"/>
          <w:sz w:val="21"/>
          <w:szCs w:val="21"/>
          <w:lang w:eastAsia="en-GB"/>
        </w:rPr>
        <w:t>Methods</w:t>
      </w:r>
      <w:r w:rsidRPr="00887A97">
        <w:rPr>
          <w:rFonts w:eastAsia="Times New Roman" w:cs="Arial"/>
          <w:color w:val="000000"/>
          <w:sz w:val="21"/>
          <w:szCs w:val="21"/>
          <w:lang w:eastAsia="en-GB"/>
        </w:rPr>
        <w:t xml:space="preserve">: Web of Science, EMBASE, PubMed, and the Cochrane Library were searched from inception to 24 January 2026 for randomized trials of TMS plus SLT in post-stroke aphasia. Bayesian network meta-analyses were run in R 4.4.2 with the gemtc and rjags packages, with outcomes grouped into seven immediate and four long-term language domains and effect sizes reported as standardized mean differences (SMDs) with 95% credible intervals (CrIs). Treatments were ranked by the surface under the cumulative ranking curve (SUCRA), and certainty of evidence was rated using GRADE (Grading of Recommendations Assessment, Development and Evaluation). </w:t>
      </w:r>
      <w:r w:rsidRPr="00887A97">
        <w:rPr>
          <w:rFonts w:eastAsia="Times New Roman" w:cs="Arial"/>
          <w:b/>
          <w:bCs/>
          <w:color w:val="000000"/>
          <w:sz w:val="21"/>
          <w:szCs w:val="21"/>
          <w:lang w:eastAsia="en-GB"/>
        </w:rPr>
        <w:t>Results</w:t>
      </w:r>
      <w:r w:rsidRPr="00887A97">
        <w:rPr>
          <w:rFonts w:eastAsia="Times New Roman" w:cs="Arial"/>
          <w:color w:val="000000"/>
          <w:sz w:val="21"/>
          <w:szCs w:val="21"/>
          <w:lang w:eastAsia="en-GB"/>
        </w:rPr>
        <w:t xml:space="preserve">: </w:t>
      </w:r>
      <w:r w:rsidR="001C643A" w:rsidRPr="001C643A">
        <w:rPr>
          <w:rFonts w:eastAsia="Times New Roman" w:cs="Arial"/>
          <w:color w:val="000000"/>
          <w:sz w:val="21"/>
          <w:szCs w:val="21"/>
          <w:lang w:eastAsia="en-GB"/>
        </w:rPr>
        <w:t>Across 26 trials enrolling 1,136 patients, three protocols led across the language domains. LF-rTMS+Music+SLT ranked first for immediate aphasia severity (SUCRA = 96.86%), repetition (97.25%), naming (99.69%), and spontaneous speech (95.67%); LF-</w:t>
      </w:r>
      <w:r w:rsidR="001C643A" w:rsidRPr="001C643A">
        <w:rPr>
          <w:rFonts w:eastAsia="Times New Roman" w:cs="Arial"/>
          <w:color w:val="000000"/>
          <w:sz w:val="21"/>
          <w:szCs w:val="21"/>
          <w:lang w:eastAsia="en-GB"/>
        </w:rPr>
        <w:lastRenderedPageBreak/>
        <w:t>rTMS+SLT, for writing (87.73%); and Dual-rTMS+SLT, for immediate functional communication (91.49%) and comprehension (97.57%). Dual-rTMS+SLT was also optimal across all four long-term outcomes (overall aphasia severity 95.82%, comprehension 95.06%, naming 99.74%, repetition 97.90%). Heterogeneity was low-to-moderate (moderate-to-high for immediate aphasia severity), and all Bayesian models converged (PSRF &lt; 1.05). Evidence was moderate-to-high for standard comparisons (LF-rTMS+SLT vs SLT) but low to very low for the highest-ranked novel combinations such as LF-rTMS+Music+SLT, driven by imprecision and indirectness.</w:t>
      </w:r>
      <w:r w:rsidRPr="00887A97">
        <w:rPr>
          <w:rFonts w:eastAsia="Times New Roman" w:cs="Arial"/>
          <w:color w:val="000000"/>
          <w:sz w:val="21"/>
          <w:szCs w:val="21"/>
          <w:lang w:eastAsia="en-GB"/>
        </w:rPr>
        <w:t xml:space="preserve"> </w:t>
      </w:r>
      <w:r w:rsidRPr="00887A97">
        <w:rPr>
          <w:rFonts w:eastAsia="Times New Roman" w:cs="Arial"/>
          <w:b/>
          <w:bCs/>
          <w:color w:val="000000"/>
          <w:sz w:val="21"/>
          <w:szCs w:val="21"/>
          <w:lang w:eastAsia="en-GB"/>
        </w:rPr>
        <w:t>Conclusion</w:t>
      </w:r>
      <w:r w:rsidRPr="00887A97">
        <w:rPr>
          <w:rFonts w:eastAsia="Times New Roman" w:cs="Arial"/>
          <w:color w:val="000000"/>
          <w:sz w:val="21"/>
          <w:szCs w:val="21"/>
          <w:lang w:eastAsia="en-GB"/>
        </w:rPr>
        <w:t>: The optimal TMS-plus-SLT protocol depends on which language domain and which time point matters. LF-rTMS+Music+SLT led the immediate domains, while Dual-rTMS+SLT led the long-term domains. Standard adjunctive comparisons (e.g. LF-rTMS+SLT vs SLT) rest on moderate-to-high certainty evidence, but the highest-ranked novel combinations rest on low-certainty evidence and require head-to-head confirmation.</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t>Copyright © 2026 Lin et al.</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Access or request full text: </w:t>
      </w:r>
      <w:hyperlink r:id="rId21" w:tgtFrame="_blank" w:history="1">
        <w:r w:rsidRPr="00887A97">
          <w:rPr>
            <w:rFonts w:eastAsia="Times New Roman" w:cs="Arial"/>
            <w:color w:val="0066CC"/>
            <w:sz w:val="21"/>
            <w:szCs w:val="21"/>
            <w:lang w:eastAsia="en-GB"/>
          </w:rPr>
          <w:t>https://libkey.io/10.2147/TCRM.S597978</w:t>
        </w:r>
      </w:hyperlink>
    </w:p>
    <w:p w14:paraId="138A0281" w14:textId="1A62F554" w:rsidR="00887A97" w:rsidRPr="00887A97" w:rsidRDefault="00887A97" w:rsidP="00887A97">
      <w:pPr>
        <w:shd w:val="clear" w:color="auto" w:fill="FFFFFF"/>
        <w:spacing w:after="173"/>
        <w:ind w:left="450" w:hanging="450"/>
        <w:rPr>
          <w:rFonts w:eastAsia="Times New Roman" w:cs="Arial"/>
          <w:color w:val="000000"/>
          <w:sz w:val="21"/>
          <w:szCs w:val="21"/>
          <w:lang w:eastAsia="en-GB"/>
        </w:rPr>
      </w:pPr>
      <w:r w:rsidRPr="00887A97">
        <w:rPr>
          <w:rFonts w:eastAsia="Times New Roman" w:cs="Arial"/>
          <w:color w:val="000000"/>
          <w:sz w:val="21"/>
          <w:szCs w:val="21"/>
          <w:lang w:eastAsia="en-GB"/>
        </w:rPr>
        <w:t xml:space="preserve">14. </w:t>
      </w:r>
      <w:r w:rsidRPr="00887A97">
        <w:rPr>
          <w:rFonts w:eastAsia="Times New Roman" w:cs="Arial"/>
          <w:b/>
          <w:bCs/>
          <w:color w:val="000000"/>
          <w:sz w:val="21"/>
          <w:szCs w:val="21"/>
          <w:lang w:eastAsia="en-GB"/>
        </w:rPr>
        <w:t>Limitations we can't always overcome: experiences of healthcare professionals and interpreters providing inpatient care for stroke survivors with aphasia from diverse backgrounds.</w:t>
      </w:r>
      <w:r w:rsidRPr="00887A97">
        <w:rPr>
          <w:rFonts w:eastAsia="Times New Roman" w:cs="Arial"/>
          <w:b/>
          <w:bCs/>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Authors:</w:t>
      </w:r>
      <w:r w:rsidRPr="00887A97">
        <w:rPr>
          <w:rFonts w:eastAsia="Times New Roman" w:cs="Arial"/>
          <w:color w:val="000000"/>
          <w:sz w:val="21"/>
          <w:szCs w:val="21"/>
          <w:lang w:eastAsia="en-GB"/>
        </w:rPr>
        <w:t xml:space="preserve"> Mellahn, Kathleen;Siyambalapitiya, Samantha;Lakhani, Ali and Rose, Miranda L.</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Publication Date: </w:t>
      </w:r>
      <w:r w:rsidRPr="00887A97">
        <w:rPr>
          <w:rFonts w:eastAsia="Times New Roman" w:cs="Arial"/>
          <w:color w:val="000000"/>
          <w:sz w:val="21"/>
          <w:szCs w:val="21"/>
          <w:lang w:eastAsia="en-GB"/>
        </w:rPr>
        <w:t>Apr 09 ,2026</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Journal: </w:t>
      </w:r>
      <w:r w:rsidRPr="00887A97">
        <w:rPr>
          <w:rFonts w:eastAsia="Times New Roman" w:cs="Arial"/>
          <w:color w:val="000000"/>
          <w:sz w:val="21"/>
          <w:szCs w:val="21"/>
          <w:lang w:eastAsia="en-GB"/>
        </w:rPr>
        <w:t>Disability &amp; Rehabilitation 1-19</w:t>
      </w:r>
      <w:r w:rsidR="001C643A">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Abstract: </w:t>
      </w:r>
      <w:r w:rsidRPr="00887A97">
        <w:rPr>
          <w:rFonts w:eastAsia="Times New Roman" w:cs="Arial"/>
          <w:color w:val="000000"/>
          <w:sz w:val="21"/>
          <w:szCs w:val="21"/>
          <w:lang w:eastAsia="en-GB"/>
        </w:rPr>
        <w:t>PURPOSE: This study described the experiences of healthcare professionals (HCPs) and professional interpreters providing care to people with post-stroke aphasia from culturally and linguistically diverse (CALD) backgrounds. The study also explored perceived processes and contextual factors shaping assessment, intervention and hospital outcomes for patients from CALD backgrounds and opportunities for practice change. MATERIALS AND METHODS: HCPs and interpreters involved in the care of people with aphasia from CALD backgrounds were recruited from a health service in Australia using a maximum variation sampling approach. Semi-structured, in-depth interviews were conducted, transcribed verbatim and analysed using reflexive thematic analysis. Overarching themes representing both groups' perspectives were generated. RESULTS: Fourteen participants (10 HCPs and four interpreters) highlighted how the interplay of language, culture, and personal factors creates complexity in the care of this patient group. Participants reported challenges in adapting interpreter services, time constraints, and managing family involvement; influenced care quality, contributing to perceived slower progress, poorer outcomes and patient frustration and voicelessness. CONCLUSIONS: HCPs and interpreters reported challenges in providing equitable inpatient care for people with aphasia from CALD backgrounds. Providing appropriate and person-centred care requires addressing systemic barriers, including resource and time constraints.</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Access or request full text: </w:t>
      </w:r>
      <w:hyperlink r:id="rId22" w:tgtFrame="_blank" w:history="1">
        <w:r w:rsidRPr="00887A97">
          <w:rPr>
            <w:rFonts w:eastAsia="Times New Roman" w:cs="Arial"/>
            <w:color w:val="0066CC"/>
            <w:sz w:val="21"/>
            <w:szCs w:val="21"/>
            <w:lang w:eastAsia="en-GB"/>
          </w:rPr>
          <w:t>https://libkey.io/10.1080/09638288.2026.2651806</w:t>
        </w:r>
      </w:hyperlink>
    </w:p>
    <w:p w14:paraId="308ED346" w14:textId="3ED81BC4" w:rsidR="00887A97" w:rsidRPr="00887A97" w:rsidRDefault="00887A97" w:rsidP="00887A97">
      <w:pPr>
        <w:shd w:val="clear" w:color="auto" w:fill="FFFFFF"/>
        <w:spacing w:after="173"/>
        <w:ind w:left="450" w:hanging="450"/>
        <w:rPr>
          <w:rFonts w:eastAsia="Times New Roman" w:cs="Arial"/>
          <w:color w:val="000000"/>
          <w:sz w:val="21"/>
          <w:szCs w:val="21"/>
          <w:lang w:eastAsia="en-GB"/>
        </w:rPr>
      </w:pPr>
      <w:r w:rsidRPr="00887A97">
        <w:rPr>
          <w:rFonts w:eastAsia="Times New Roman" w:cs="Arial"/>
          <w:color w:val="000000"/>
          <w:sz w:val="21"/>
          <w:szCs w:val="21"/>
          <w:lang w:eastAsia="en-GB"/>
        </w:rPr>
        <w:t xml:space="preserve">15. </w:t>
      </w:r>
      <w:r w:rsidRPr="00887A97">
        <w:rPr>
          <w:rFonts w:eastAsia="Times New Roman" w:cs="Arial"/>
          <w:b/>
          <w:bCs/>
          <w:color w:val="000000"/>
          <w:sz w:val="21"/>
          <w:szCs w:val="21"/>
          <w:lang w:eastAsia="en-GB"/>
        </w:rPr>
        <w:t>Effects of a telerehabilitation 'booster' on maintaining communication gains after completion of an Intensive Comprehensive Aphasia Program (ICAP).</w:t>
      </w:r>
      <w:r w:rsidRPr="00887A97">
        <w:rPr>
          <w:rFonts w:eastAsia="Times New Roman" w:cs="Arial"/>
          <w:b/>
          <w:bCs/>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Authors:</w:t>
      </w:r>
      <w:r w:rsidRPr="00887A97">
        <w:rPr>
          <w:rFonts w:eastAsia="Times New Roman" w:cs="Arial"/>
          <w:color w:val="000000"/>
          <w:sz w:val="21"/>
          <w:szCs w:val="21"/>
          <w:lang w:eastAsia="en-GB"/>
        </w:rPr>
        <w:t xml:space="preserve"> Missel, Alexis and Milman, Lisa</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Publication Date: </w:t>
      </w:r>
      <w:r w:rsidRPr="00887A97">
        <w:rPr>
          <w:rFonts w:eastAsia="Times New Roman" w:cs="Arial"/>
          <w:color w:val="000000"/>
          <w:sz w:val="21"/>
          <w:szCs w:val="21"/>
          <w:lang w:eastAsia="en-GB"/>
        </w:rPr>
        <w:t>Oct 12 ,2026</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Journal: </w:t>
      </w:r>
      <w:r w:rsidRPr="00887A97">
        <w:rPr>
          <w:rFonts w:eastAsia="Times New Roman" w:cs="Arial"/>
          <w:color w:val="000000"/>
          <w:sz w:val="21"/>
          <w:szCs w:val="21"/>
          <w:lang w:eastAsia="en-GB"/>
        </w:rPr>
        <w:t>International Journal of Speechlanguage Pathology 1-18</w:t>
      </w:r>
      <w:r w:rsidR="001C643A">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lastRenderedPageBreak/>
        <w:t>Abstract: PURPOSE</w:t>
      </w:r>
      <w:r w:rsidRPr="00887A97">
        <w:rPr>
          <w:rFonts w:eastAsia="Times New Roman" w:cs="Arial"/>
          <w:color w:val="000000"/>
          <w:sz w:val="21"/>
          <w:szCs w:val="21"/>
          <w:lang w:eastAsia="en-GB"/>
        </w:rPr>
        <w:t xml:space="preserve">: Although a growing literature supports the positive effects immediately following participation in an Intensive Comprehensive Aphasia Program, there is little research assessing treatment maintenance following program completion. The Teleconnect Aphasia Group project was initiated to assess treatment maintenance and provide a 'boost' of continued intervention via telerehabilitation after completion of an Intensive Comprehensive Aphasia Program. </w:t>
      </w:r>
      <w:r w:rsidRPr="00887A97">
        <w:rPr>
          <w:rFonts w:eastAsia="Times New Roman" w:cs="Arial"/>
          <w:b/>
          <w:bCs/>
          <w:color w:val="000000"/>
          <w:sz w:val="21"/>
          <w:szCs w:val="21"/>
          <w:lang w:eastAsia="en-GB"/>
        </w:rPr>
        <w:t>METHOD</w:t>
      </w:r>
      <w:r w:rsidRPr="00887A97">
        <w:rPr>
          <w:rFonts w:eastAsia="Times New Roman" w:cs="Arial"/>
          <w:color w:val="000000"/>
          <w:sz w:val="21"/>
          <w:szCs w:val="21"/>
          <w:lang w:eastAsia="en-GB"/>
        </w:rPr>
        <w:t xml:space="preserve">: A longitudinal cohort design was employed, with replication across two groups of three participants each. Six participants with stroke-associated aphasia were recruited following participation in an Intensive Comprehensive Aphasia Program, then completed one weekly 60 minute aphasia group therapy session and up to 60 minutes per week of individual coaching over four weeks (M = 1.88 hours/week). </w:t>
      </w:r>
      <w:r w:rsidRPr="00887A97">
        <w:rPr>
          <w:rFonts w:eastAsia="Times New Roman" w:cs="Arial"/>
          <w:b/>
          <w:bCs/>
          <w:color w:val="000000"/>
          <w:sz w:val="21"/>
          <w:szCs w:val="21"/>
          <w:lang w:eastAsia="en-GB"/>
        </w:rPr>
        <w:t>RESULT</w:t>
      </w:r>
      <w:r w:rsidRPr="00887A97">
        <w:rPr>
          <w:rFonts w:eastAsia="Times New Roman" w:cs="Arial"/>
          <w:color w:val="000000"/>
          <w:sz w:val="21"/>
          <w:szCs w:val="21"/>
          <w:lang w:eastAsia="en-GB"/>
        </w:rPr>
        <w:t>: Pre-Teleconnect Aphasia Group, only one of six participants showed clear maintenance. After completing Teleconnect Aphasia Group, most participants demonstrated either language maintenance (</w:t>
      </w:r>
      <w:r w:rsidRPr="00887A97">
        <w:rPr>
          <w:rFonts w:eastAsia="Times New Roman" w:cs="Arial"/>
          <w:i/>
          <w:iCs/>
          <w:color w:val="000000"/>
          <w:sz w:val="21"/>
          <w:szCs w:val="21"/>
          <w:lang w:eastAsia="en-GB"/>
        </w:rPr>
        <w:t>n</w:t>
      </w:r>
      <w:r w:rsidRPr="00887A97">
        <w:rPr>
          <w:rFonts w:eastAsia="Times New Roman" w:cs="Arial"/>
          <w:color w:val="000000"/>
          <w:sz w:val="21"/>
          <w:szCs w:val="21"/>
          <w:lang w:eastAsia="en-GB"/>
        </w:rPr>
        <w:t xml:space="preserve"> = 1) or trend reversal (</w:t>
      </w:r>
      <w:r w:rsidRPr="00887A97">
        <w:rPr>
          <w:rFonts w:eastAsia="Times New Roman" w:cs="Arial"/>
          <w:i/>
          <w:iCs/>
          <w:color w:val="000000"/>
          <w:sz w:val="21"/>
          <w:szCs w:val="21"/>
          <w:lang w:eastAsia="en-GB"/>
        </w:rPr>
        <w:t>n</w:t>
      </w:r>
      <w:r w:rsidRPr="00887A97">
        <w:rPr>
          <w:rFonts w:eastAsia="Times New Roman" w:cs="Arial"/>
          <w:color w:val="000000"/>
          <w:sz w:val="21"/>
          <w:szCs w:val="21"/>
          <w:lang w:eastAsia="en-GB"/>
        </w:rPr>
        <w:t xml:space="preserve"> = 4). Notably, all participants demonstrated gains in functional, participation-focused communication, as assessed by personalised Goal Attainment Scales. Furthermore, all participants endorsed the benefit of continuing language/communication therapy through telerehabilitation groups, especially when supplemented with individual sessions. </w:t>
      </w:r>
      <w:r w:rsidRPr="00887A97">
        <w:rPr>
          <w:rFonts w:eastAsia="Times New Roman" w:cs="Arial"/>
          <w:b/>
          <w:bCs/>
          <w:color w:val="000000"/>
          <w:sz w:val="21"/>
          <w:szCs w:val="21"/>
          <w:lang w:eastAsia="en-GB"/>
        </w:rPr>
        <w:t>CONCLUSION</w:t>
      </w:r>
      <w:r w:rsidRPr="00887A97">
        <w:rPr>
          <w:rFonts w:eastAsia="Times New Roman" w:cs="Arial"/>
          <w:color w:val="000000"/>
          <w:sz w:val="21"/>
          <w:szCs w:val="21"/>
          <w:lang w:eastAsia="en-GB"/>
        </w:rPr>
        <w:t>: Findings from this study support the provision of meaningful, impactful telerehabilitation group services to promote maintenance and generalisation of communication gains following participation in an Intensive Comprehensive Aphasia Program.</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Access or request full text: </w:t>
      </w:r>
      <w:hyperlink r:id="rId23" w:tgtFrame="_blank" w:history="1">
        <w:r w:rsidRPr="00887A97">
          <w:rPr>
            <w:rFonts w:eastAsia="Times New Roman" w:cs="Arial"/>
            <w:color w:val="0066CC"/>
            <w:sz w:val="21"/>
            <w:szCs w:val="21"/>
            <w:lang w:eastAsia="en-GB"/>
          </w:rPr>
          <w:t>https://libkey.io/10.1080/17549507.2026.2734391</w:t>
        </w:r>
      </w:hyperlink>
    </w:p>
    <w:p w14:paraId="724BF80C" w14:textId="77777777" w:rsidR="00887A97" w:rsidRPr="00887A97" w:rsidRDefault="00887A97" w:rsidP="00887A97">
      <w:pPr>
        <w:shd w:val="clear" w:color="auto" w:fill="FFFFFF"/>
        <w:spacing w:after="173"/>
        <w:ind w:left="450" w:hanging="450"/>
        <w:rPr>
          <w:rFonts w:eastAsia="Times New Roman" w:cs="Arial"/>
          <w:color w:val="000000"/>
          <w:sz w:val="21"/>
          <w:szCs w:val="21"/>
          <w:lang w:eastAsia="en-GB"/>
        </w:rPr>
      </w:pPr>
      <w:r w:rsidRPr="00887A97">
        <w:rPr>
          <w:rFonts w:eastAsia="Times New Roman" w:cs="Arial"/>
          <w:color w:val="000000"/>
          <w:sz w:val="21"/>
          <w:szCs w:val="21"/>
          <w:lang w:eastAsia="en-GB"/>
        </w:rPr>
        <w:t xml:space="preserve">16. </w:t>
      </w:r>
      <w:r w:rsidRPr="00887A97">
        <w:rPr>
          <w:rFonts w:eastAsia="Times New Roman" w:cs="Arial"/>
          <w:b/>
          <w:bCs/>
          <w:color w:val="000000"/>
          <w:sz w:val="21"/>
          <w:szCs w:val="21"/>
          <w:lang w:eastAsia="en-GB"/>
        </w:rPr>
        <w:t>"Not That I've Become Exceptional, But I'm Able to Make Myself Understood Better": Impact of Speech and Language Therapy on Everyday Communication in People with Primary Progressive Aphasia and Their Carers.</w:t>
      </w:r>
      <w:r w:rsidRPr="00887A97">
        <w:rPr>
          <w:rFonts w:eastAsia="Times New Roman" w:cs="Arial"/>
          <w:b/>
          <w:bCs/>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Authors:</w:t>
      </w:r>
      <w:r w:rsidRPr="00887A97">
        <w:rPr>
          <w:rFonts w:eastAsia="Times New Roman" w:cs="Arial"/>
          <w:color w:val="000000"/>
          <w:sz w:val="21"/>
          <w:szCs w:val="21"/>
          <w:lang w:eastAsia="en-GB"/>
        </w:rPr>
        <w:t xml:space="preserve"> Palmirotta, Cinzia;Santi, Gaia C.;Aresta, Simona;Tomasoni, Roberta;Benzini, Allegra;Leccese, Giuliana;Santacesaria, Paola;Tagliente, Serena;Cosseddu, Maura;Biddau, Federica;Introna, Alessandro;Capozzo, Rosa;Tagliente, Stefania;Padovani, Alessandro;Fiore, Pietro and Battista, Petronilla</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Publication Date: </w:t>
      </w:r>
      <w:r w:rsidRPr="00887A97">
        <w:rPr>
          <w:rFonts w:eastAsia="Times New Roman" w:cs="Arial"/>
          <w:color w:val="000000"/>
          <w:sz w:val="21"/>
          <w:szCs w:val="21"/>
          <w:lang w:eastAsia="en-GB"/>
        </w:rPr>
        <w:t>Apr ,2026</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Journal: </w:t>
      </w:r>
      <w:r w:rsidRPr="00887A97">
        <w:rPr>
          <w:rFonts w:eastAsia="Times New Roman" w:cs="Arial"/>
          <w:color w:val="000000"/>
          <w:sz w:val="21"/>
          <w:szCs w:val="21"/>
          <w:lang w:eastAsia="en-GB"/>
        </w:rPr>
        <w:t>Neurology &amp; Therapy 15(2), pp. 717–731</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Abstract: INTRODUCTION</w:t>
      </w:r>
      <w:r w:rsidRPr="00887A97">
        <w:rPr>
          <w:rFonts w:eastAsia="Times New Roman" w:cs="Arial"/>
          <w:color w:val="000000"/>
          <w:sz w:val="21"/>
          <w:szCs w:val="21"/>
          <w:lang w:eastAsia="en-GB"/>
        </w:rPr>
        <w:t xml:space="preserve">: Primary progressive aphasia (PPA) is a neurodegenerative syndrome characterized by progressive speech and language impairments that impact communication, independence, and psychosocial well-being. People with PPA (PwPPA) and their carers face communication difficulties that lead to social withdrawal. Speech and language therapy (SLT) offers non-pharmacological strategies to support communication, yet evidence regarding its perceived impact on daily life remains limited. This study explored the experiences of PwPPA and their carers following SLT, focusing on perceived changes in communication abilities, confidence, and psychosocial well-being. </w:t>
      </w:r>
      <w:r w:rsidRPr="00887A97">
        <w:rPr>
          <w:rFonts w:eastAsia="Times New Roman" w:cs="Arial"/>
          <w:b/>
          <w:bCs/>
          <w:color w:val="000000"/>
          <w:sz w:val="21"/>
          <w:szCs w:val="21"/>
          <w:lang w:eastAsia="en-GB"/>
        </w:rPr>
        <w:t>METHODS</w:t>
      </w:r>
      <w:r w:rsidRPr="00887A97">
        <w:rPr>
          <w:rFonts w:eastAsia="Times New Roman" w:cs="Arial"/>
          <w:color w:val="000000"/>
          <w:sz w:val="21"/>
          <w:szCs w:val="21"/>
          <w:lang w:eastAsia="en-GB"/>
        </w:rPr>
        <w:t xml:space="preserve">: PwPPA participated in a 5-week, tailored telerehabilitation program (Lexical Retrieval Cascade Treatment for logopenic PPA/semantic PPA; Video-Implemented Script Training for nonfluent/agrammatic PPA). Post-treatment questionnaires were developed to collect the opinions of PwPPA and their carers regarding the SLT. The questionnaires included 22 closed-ended Likert-scale items and two open-ended questions for each group. Quantitative data were analyzed for frequency and consistency between PwPPA and carers, while qualitative responses underwent reflexive thematic analysis. Twenty-five PwPPA and 24 carers completed the questionnaires. </w:t>
      </w:r>
      <w:r w:rsidRPr="00887A97">
        <w:rPr>
          <w:rFonts w:eastAsia="Times New Roman" w:cs="Arial"/>
          <w:b/>
          <w:bCs/>
          <w:color w:val="000000"/>
          <w:sz w:val="21"/>
          <w:szCs w:val="21"/>
          <w:lang w:eastAsia="en-GB"/>
        </w:rPr>
        <w:t>RESULTS</w:t>
      </w:r>
      <w:r w:rsidRPr="00887A97">
        <w:rPr>
          <w:rFonts w:eastAsia="Times New Roman" w:cs="Arial"/>
          <w:color w:val="000000"/>
          <w:sz w:val="21"/>
          <w:szCs w:val="21"/>
          <w:lang w:eastAsia="en-GB"/>
        </w:rPr>
        <w:t xml:space="preserve">: Quantitative findings showed consistent perceptions between PwPPA and carers, with approximately 30% reporting improvements in communication confidence, speaking ability, and stress. Thematic analysis revealed four shared themes: reduction in negative emotions/increased self-efficacy, proactivity, acquisition of compensatory strategies, and the importance of the treatment setting and patient-clinician relationship. Additional themes included enhanced communicative effectiveness for PwPPA and increased awareness and improved interpersonal </w:t>
      </w:r>
      <w:r w:rsidRPr="00887A97">
        <w:rPr>
          <w:rFonts w:eastAsia="Times New Roman" w:cs="Arial"/>
          <w:color w:val="000000"/>
          <w:sz w:val="21"/>
          <w:szCs w:val="21"/>
          <w:lang w:eastAsia="en-GB"/>
        </w:rPr>
        <w:lastRenderedPageBreak/>
        <w:t xml:space="preserve">relationships for carers. Participants emphasized the benefits of individualized, supportive therapy delivered in a comfortable environment, including via telerehabilitation. </w:t>
      </w:r>
      <w:r w:rsidRPr="00887A97">
        <w:rPr>
          <w:rFonts w:eastAsia="Times New Roman" w:cs="Arial"/>
          <w:b/>
          <w:bCs/>
          <w:color w:val="000000"/>
          <w:sz w:val="21"/>
          <w:szCs w:val="21"/>
          <w:lang w:eastAsia="en-GB"/>
        </w:rPr>
        <w:t>CONCLUSION</w:t>
      </w:r>
      <w:r w:rsidRPr="00887A97">
        <w:rPr>
          <w:rFonts w:eastAsia="Times New Roman" w:cs="Arial"/>
          <w:color w:val="000000"/>
          <w:sz w:val="21"/>
          <w:szCs w:val="21"/>
          <w:lang w:eastAsia="en-GB"/>
        </w:rPr>
        <w:t>: Our study highlights the positive influence of SLT on both communication and psychosocial outcomes in PwPPA and their carers. Integrating subjective experiences with quantitative measures underscores the importance of person-centered, holistic interventions that address linguistic, emotional, and social dimensions, supporting everyday communication and quality of life.</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t>Copyright © 2026. The Author(s).</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Access or request full text: </w:t>
      </w:r>
      <w:hyperlink r:id="rId24" w:tgtFrame="_blank" w:history="1">
        <w:r w:rsidRPr="00887A97">
          <w:rPr>
            <w:rFonts w:eastAsia="Times New Roman" w:cs="Arial"/>
            <w:color w:val="0066CC"/>
            <w:sz w:val="21"/>
            <w:szCs w:val="21"/>
            <w:lang w:eastAsia="en-GB"/>
          </w:rPr>
          <w:t>https://libkey.io/10.1007/s40120-026-00890-7</w:t>
        </w:r>
      </w:hyperlink>
    </w:p>
    <w:p w14:paraId="6777D978" w14:textId="155A28B3" w:rsidR="00887A97" w:rsidRPr="00887A97" w:rsidRDefault="00887A97" w:rsidP="00887A97">
      <w:pPr>
        <w:shd w:val="clear" w:color="auto" w:fill="FFFFFF"/>
        <w:spacing w:after="173"/>
        <w:ind w:left="450" w:hanging="450"/>
        <w:rPr>
          <w:rFonts w:eastAsia="Times New Roman" w:cs="Arial"/>
          <w:color w:val="000000"/>
          <w:sz w:val="21"/>
          <w:szCs w:val="21"/>
          <w:lang w:eastAsia="en-GB"/>
        </w:rPr>
      </w:pPr>
      <w:r w:rsidRPr="00887A97">
        <w:rPr>
          <w:rFonts w:eastAsia="Times New Roman" w:cs="Arial"/>
          <w:color w:val="000000"/>
          <w:sz w:val="21"/>
          <w:szCs w:val="21"/>
          <w:lang w:eastAsia="en-GB"/>
        </w:rPr>
        <w:t xml:space="preserve">17. </w:t>
      </w:r>
      <w:r w:rsidRPr="00887A97">
        <w:rPr>
          <w:rFonts w:eastAsia="Times New Roman" w:cs="Arial"/>
          <w:b/>
          <w:bCs/>
          <w:color w:val="000000"/>
          <w:sz w:val="21"/>
          <w:szCs w:val="21"/>
          <w:lang w:eastAsia="en-GB"/>
        </w:rPr>
        <w:t>The Effects of Multimodal Communication Treatment With Discourse and Group Activities via Telepractice on People With Severe Nonfluent Aphasia: A Case Study.</w:t>
      </w:r>
      <w:r w:rsidRPr="00887A97">
        <w:rPr>
          <w:rFonts w:eastAsia="Times New Roman" w:cs="Arial"/>
          <w:b/>
          <w:bCs/>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Authors:</w:t>
      </w:r>
      <w:r w:rsidRPr="00887A97">
        <w:rPr>
          <w:rFonts w:eastAsia="Times New Roman" w:cs="Arial"/>
          <w:color w:val="000000"/>
          <w:sz w:val="21"/>
          <w:szCs w:val="21"/>
          <w:lang w:eastAsia="en-GB"/>
        </w:rPr>
        <w:t xml:space="preserve"> Park, Hyejin;Burklow, Elizabeth;Ward, Emily L. and Wallace, Sarah E.</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Publication Date: </w:t>
      </w:r>
      <w:r w:rsidRPr="00887A97">
        <w:rPr>
          <w:rFonts w:eastAsia="Times New Roman" w:cs="Arial"/>
          <w:color w:val="000000"/>
          <w:sz w:val="21"/>
          <w:szCs w:val="21"/>
          <w:lang w:eastAsia="en-GB"/>
        </w:rPr>
        <w:t>Oct 12 ,2026</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Journal: </w:t>
      </w:r>
      <w:r w:rsidRPr="00887A97">
        <w:rPr>
          <w:rFonts w:eastAsia="Times New Roman" w:cs="Arial"/>
          <w:color w:val="000000"/>
          <w:sz w:val="21"/>
          <w:szCs w:val="21"/>
          <w:lang w:eastAsia="en-GB"/>
        </w:rPr>
        <w:t>American Journal of Speech-Language Pathology 1-20</w:t>
      </w:r>
      <w:r w:rsidR="001C643A">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Abstract: PURPOSE</w:t>
      </w:r>
      <w:r w:rsidRPr="00887A97">
        <w:rPr>
          <w:rFonts w:eastAsia="Times New Roman" w:cs="Arial"/>
          <w:color w:val="000000"/>
          <w:sz w:val="21"/>
          <w:szCs w:val="21"/>
          <w:lang w:eastAsia="en-GB"/>
        </w:rPr>
        <w:t xml:space="preserve">: Nonfluent aphasia can be characterized by prominent difficulty with speech production. Compensatory and functional aphasia treatments, including multimodal communication treatment (MCT), have been highlighted for their support of life participation because they aim to circumvent spoken language difficulties through use of other modalities. The current study explored an expanded version of MCT, by including a discourse task and group activities on telepractice (MCT with discourse and group activities via telepractice [teleMCT+DG]) to mirror daily communication and improve communication success for people with severe nonfluent aphasia. </w:t>
      </w:r>
      <w:r w:rsidRPr="00887A97">
        <w:rPr>
          <w:rFonts w:eastAsia="Times New Roman" w:cs="Arial"/>
          <w:b/>
          <w:bCs/>
          <w:color w:val="000000"/>
          <w:sz w:val="21"/>
          <w:szCs w:val="21"/>
          <w:lang w:eastAsia="en-GB"/>
        </w:rPr>
        <w:t>METHOD</w:t>
      </w:r>
      <w:r w:rsidRPr="00887A97">
        <w:rPr>
          <w:rFonts w:eastAsia="Times New Roman" w:cs="Arial"/>
          <w:color w:val="000000"/>
          <w:sz w:val="21"/>
          <w:szCs w:val="21"/>
          <w:lang w:eastAsia="en-GB"/>
        </w:rPr>
        <w:t xml:space="preserve">: Two participants with severe aphasia participated in teleMCT+DG for 10 weeks (two individual and one group treatment sessions per week) to practice five communication modalities (speaking, writing, drawing, gesturing, and using a communication book) during a story generation task. Participants ' success of modality production for target items during the story generation task was analyzed. </w:t>
      </w:r>
      <w:r w:rsidRPr="00887A97">
        <w:rPr>
          <w:rFonts w:eastAsia="Times New Roman" w:cs="Arial"/>
          <w:b/>
          <w:bCs/>
          <w:color w:val="000000"/>
          <w:sz w:val="21"/>
          <w:szCs w:val="21"/>
          <w:lang w:eastAsia="en-GB"/>
        </w:rPr>
        <w:t>RESULTS</w:t>
      </w:r>
      <w:r w:rsidRPr="00887A97">
        <w:rPr>
          <w:rFonts w:eastAsia="Times New Roman" w:cs="Arial"/>
          <w:color w:val="000000"/>
          <w:sz w:val="21"/>
          <w:szCs w:val="21"/>
          <w:lang w:eastAsia="en-GB"/>
        </w:rPr>
        <w:t xml:space="preserve">: Participant 1 with Broca's aphasia demonstrated a trend of increasing his communication using nonspoken modalities during story generation. Participant 2 with global aphasia demonstrated evidence of improving his nonspoken communication skills during story generation, which helped improve the success of his communication. </w:t>
      </w:r>
      <w:r w:rsidRPr="00887A97">
        <w:rPr>
          <w:rFonts w:eastAsia="Times New Roman" w:cs="Arial"/>
          <w:b/>
          <w:bCs/>
          <w:color w:val="000000"/>
          <w:sz w:val="21"/>
          <w:szCs w:val="21"/>
          <w:lang w:eastAsia="en-GB"/>
        </w:rPr>
        <w:t>CONCLUSIONS</w:t>
      </w:r>
      <w:r w:rsidRPr="00887A97">
        <w:rPr>
          <w:rFonts w:eastAsia="Times New Roman" w:cs="Arial"/>
          <w:color w:val="000000"/>
          <w:sz w:val="21"/>
          <w:szCs w:val="21"/>
          <w:lang w:eastAsia="en-GB"/>
        </w:rPr>
        <w:t>: The common trend from the two participants suggested positive evidence of increased success driven by the successful use of nonspoken modalities. This study supported the benefits of training compensatory strategies (multimodal communication) to improve communication success in people with nonfluent aphasia, though further research is needed to identify modifications for specific aphasia profiles.</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Access or request full text: </w:t>
      </w:r>
      <w:hyperlink r:id="rId25" w:tgtFrame="_blank" w:history="1">
        <w:r w:rsidRPr="00887A97">
          <w:rPr>
            <w:rFonts w:eastAsia="Times New Roman" w:cs="Arial"/>
            <w:color w:val="0066CC"/>
            <w:sz w:val="21"/>
            <w:szCs w:val="21"/>
            <w:lang w:eastAsia="en-GB"/>
          </w:rPr>
          <w:t>https://libkey.io/10.1044/2026_AJSLP-25-00427</w:t>
        </w:r>
      </w:hyperlink>
    </w:p>
    <w:p w14:paraId="7BDECD32" w14:textId="6165B192" w:rsidR="00887A97" w:rsidRPr="00887A97" w:rsidRDefault="00887A97" w:rsidP="00887A97">
      <w:pPr>
        <w:shd w:val="clear" w:color="auto" w:fill="FFFFFF"/>
        <w:spacing w:after="173"/>
        <w:ind w:left="450" w:hanging="450"/>
        <w:rPr>
          <w:rFonts w:eastAsia="Times New Roman" w:cs="Arial"/>
          <w:color w:val="000000"/>
          <w:sz w:val="21"/>
          <w:szCs w:val="21"/>
          <w:lang w:eastAsia="en-GB"/>
        </w:rPr>
      </w:pPr>
      <w:r w:rsidRPr="00887A97">
        <w:rPr>
          <w:rFonts w:eastAsia="Times New Roman" w:cs="Arial"/>
          <w:color w:val="000000"/>
          <w:sz w:val="21"/>
          <w:szCs w:val="21"/>
          <w:lang w:eastAsia="en-GB"/>
        </w:rPr>
        <w:t xml:space="preserve">18. </w:t>
      </w:r>
      <w:r w:rsidRPr="00887A97">
        <w:rPr>
          <w:rFonts w:eastAsia="Times New Roman" w:cs="Arial"/>
          <w:b/>
          <w:bCs/>
          <w:color w:val="000000"/>
          <w:sz w:val="21"/>
          <w:szCs w:val="21"/>
          <w:lang w:eastAsia="en-GB"/>
        </w:rPr>
        <w:t>Care Partner Perceptions of Conversation Difficulties, Strategy Use, and Psychosocial Impacts in Primary Progressive Aphasia: A Descriptive Study Using the PCI-DAT.</w:t>
      </w:r>
      <w:r w:rsidRPr="00887A97">
        <w:rPr>
          <w:rFonts w:eastAsia="Times New Roman" w:cs="Arial"/>
          <w:b/>
          <w:bCs/>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Authors:</w:t>
      </w:r>
      <w:r w:rsidRPr="00887A97">
        <w:rPr>
          <w:rFonts w:eastAsia="Times New Roman" w:cs="Arial"/>
          <w:color w:val="000000"/>
          <w:sz w:val="21"/>
          <w:szCs w:val="21"/>
          <w:lang w:eastAsia="en-GB"/>
        </w:rPr>
        <w:t xml:space="preserve"> Roberts, Angela C.;Bona, Matthew and Rogalski, Emily</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Publication Date: </w:t>
      </w:r>
      <w:r w:rsidRPr="00887A97">
        <w:rPr>
          <w:rFonts w:eastAsia="Times New Roman" w:cs="Arial"/>
          <w:color w:val="000000"/>
          <w:sz w:val="21"/>
          <w:szCs w:val="21"/>
          <w:lang w:eastAsia="en-GB"/>
        </w:rPr>
        <w:t>Aug 31 ,2026</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Journal: </w:t>
      </w:r>
      <w:r w:rsidRPr="00887A97">
        <w:rPr>
          <w:rFonts w:eastAsia="Times New Roman" w:cs="Arial"/>
          <w:color w:val="000000"/>
          <w:sz w:val="21"/>
          <w:szCs w:val="21"/>
          <w:lang w:eastAsia="en-GB"/>
        </w:rPr>
        <w:t>Brain Sciences 16(9)</w:t>
      </w:r>
      <w:r w:rsidR="001C643A">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Abstract: BACKGROUND</w:t>
      </w:r>
      <w:r w:rsidRPr="00887A97">
        <w:rPr>
          <w:rFonts w:eastAsia="Times New Roman" w:cs="Arial"/>
          <w:color w:val="000000"/>
          <w:sz w:val="21"/>
          <w:szCs w:val="21"/>
          <w:lang w:eastAsia="en-GB"/>
        </w:rPr>
        <w:t xml:space="preserve">: Primary progressive aphasia (PPA) disrupts communication and increases caregiving burden. Despite their critical role in supporting communication, objective data characterizing communication partners' perceptions of conversation difficulties, strategies, and psychosocial impacts across PPA subtypes remain scarce. This </w:t>
      </w:r>
      <w:r w:rsidRPr="00887A97">
        <w:rPr>
          <w:rFonts w:eastAsia="Times New Roman" w:cs="Arial"/>
          <w:color w:val="000000"/>
          <w:sz w:val="21"/>
          <w:szCs w:val="21"/>
          <w:lang w:eastAsia="en-GB"/>
        </w:rPr>
        <w:lastRenderedPageBreak/>
        <w:t xml:space="preserve">study characterizes these experiences using the Perception of Conversation Index-Dementia of the Alzheimer's Type (PCI-DAT) in a well-characterized PPA sample. </w:t>
      </w:r>
      <w:r w:rsidRPr="00887A97">
        <w:rPr>
          <w:rFonts w:eastAsia="Times New Roman" w:cs="Arial"/>
          <w:b/>
          <w:bCs/>
          <w:color w:val="000000"/>
          <w:sz w:val="21"/>
          <w:szCs w:val="21"/>
          <w:lang w:eastAsia="en-GB"/>
        </w:rPr>
        <w:t>METHODS</w:t>
      </w:r>
      <w:r w:rsidRPr="00887A97">
        <w:rPr>
          <w:rFonts w:eastAsia="Times New Roman" w:cs="Arial"/>
          <w:color w:val="000000"/>
          <w:sz w:val="21"/>
          <w:szCs w:val="21"/>
          <w:lang w:eastAsia="en-GB"/>
        </w:rPr>
        <w:t xml:space="preserve">: Baseline PCI-DAT data from 95 communication partners of individuals with PPA enrolled in the Communication Bridge-2 (CB2) randomized controlled trial were analyzed. Descriptive analyses examined item- and subscale-level responses across five PCI-DAT subscales. Kruskal-Wallis tests were used to compare subscale total scores across agrammatic (PPA-G, n = 26), logopenic (PPA-L, n = 43), and semantic (PPA-S, n = 26) PPA subtypes. </w:t>
      </w:r>
      <w:r w:rsidRPr="00887A97">
        <w:rPr>
          <w:rFonts w:eastAsia="Times New Roman" w:cs="Arial"/>
          <w:b/>
          <w:bCs/>
          <w:color w:val="000000"/>
          <w:sz w:val="21"/>
          <w:szCs w:val="21"/>
          <w:lang w:eastAsia="en-GB"/>
        </w:rPr>
        <w:t>RESULTS</w:t>
      </w:r>
      <w:r w:rsidRPr="00887A97">
        <w:rPr>
          <w:rFonts w:eastAsia="Times New Roman" w:cs="Arial"/>
          <w:color w:val="000000"/>
          <w:sz w:val="21"/>
          <w:szCs w:val="21"/>
          <w:lang w:eastAsia="en-GB"/>
        </w:rPr>
        <w:t xml:space="preserve">: Communication partners endorsed a wide range of conversation difficulties, with using the correct word and pausing/searching for words being the most frequently and severely rated items. Across subtypes, partners reported frequent use and perceived helpfulness of compensatory actions, both their own and those used by the person with PPA. PPA-S care partners reported directionally higher emotional burden (Subscale 4: M = 24.46, SD = 10.96) and practical challenges (Subscale 5: M = 19.27, SD = 11.61). No statistically significant between-subtype differences emerged for any subscale (all </w:t>
      </w:r>
      <w:r w:rsidRPr="00887A97">
        <w:rPr>
          <w:rFonts w:eastAsia="Times New Roman" w:cs="Arial"/>
          <w:i/>
          <w:iCs/>
          <w:color w:val="000000"/>
          <w:sz w:val="21"/>
          <w:szCs w:val="21"/>
          <w:lang w:eastAsia="en-GB"/>
        </w:rPr>
        <w:t>p</w:t>
      </w:r>
      <w:r w:rsidRPr="00887A97">
        <w:rPr>
          <w:rFonts w:eastAsia="Times New Roman" w:cs="Arial"/>
          <w:color w:val="000000"/>
          <w:sz w:val="21"/>
          <w:szCs w:val="21"/>
          <w:lang w:eastAsia="en-GB"/>
        </w:rPr>
        <w:t>-values &gt; 0.12, epsilon</w:t>
      </w:r>
      <w:r w:rsidRPr="00887A97">
        <w:rPr>
          <w:rFonts w:eastAsia="Times New Roman" w:cs="Arial"/>
          <w:color w:val="000000"/>
          <w:sz w:val="16"/>
          <w:szCs w:val="16"/>
          <w:vertAlign w:val="superscript"/>
          <w:lang w:eastAsia="en-GB"/>
        </w:rPr>
        <w:t>2</w:t>
      </w:r>
      <w:r w:rsidRPr="00887A97">
        <w:rPr>
          <w:rFonts w:eastAsia="Times New Roman" w:cs="Arial"/>
          <w:color w:val="000000"/>
          <w:sz w:val="21"/>
          <w:szCs w:val="21"/>
          <w:lang w:eastAsia="en-GB"/>
        </w:rPr>
        <w:t xml:space="preserve"> = 0.030-0.044). Within-subtype variability was substantial across all subscales. </w:t>
      </w:r>
      <w:r w:rsidRPr="00887A97">
        <w:rPr>
          <w:rFonts w:eastAsia="Times New Roman" w:cs="Arial"/>
          <w:b/>
          <w:bCs/>
          <w:color w:val="000000"/>
          <w:sz w:val="21"/>
          <w:szCs w:val="21"/>
          <w:lang w:eastAsia="en-GB"/>
        </w:rPr>
        <w:t>CONCLUSIONS</w:t>
      </w:r>
      <w:r w:rsidRPr="00887A97">
        <w:rPr>
          <w:rFonts w:eastAsia="Times New Roman" w:cs="Arial"/>
          <w:color w:val="000000"/>
          <w:sz w:val="21"/>
          <w:szCs w:val="21"/>
          <w:lang w:eastAsia="en-GB"/>
        </w:rPr>
        <w:t>: These findings characterize the breadth and heterogeneity of communication partner-perceived conversation difficulties and their psychosocial impacts in mild-to-moderate PPA. Substantial within-subtype variability supports individualized assessment and intervention planning.</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Access or request full text: </w:t>
      </w:r>
      <w:hyperlink r:id="rId26" w:tgtFrame="_blank" w:history="1">
        <w:r w:rsidRPr="00887A97">
          <w:rPr>
            <w:rFonts w:eastAsia="Times New Roman" w:cs="Arial"/>
            <w:color w:val="0066CC"/>
            <w:sz w:val="21"/>
            <w:szCs w:val="21"/>
            <w:lang w:eastAsia="en-GB"/>
          </w:rPr>
          <w:t>https://libkey.io/10.3390/brainsci16090938</w:t>
        </w:r>
      </w:hyperlink>
    </w:p>
    <w:p w14:paraId="2D72F9FE" w14:textId="77777777" w:rsidR="00887A97" w:rsidRPr="00887A97" w:rsidRDefault="00887A97" w:rsidP="00887A97">
      <w:pPr>
        <w:shd w:val="clear" w:color="auto" w:fill="FFFFFF"/>
        <w:spacing w:after="173"/>
        <w:ind w:left="450" w:hanging="450"/>
        <w:rPr>
          <w:rFonts w:eastAsia="Times New Roman" w:cs="Arial"/>
          <w:color w:val="000000"/>
          <w:sz w:val="21"/>
          <w:szCs w:val="21"/>
          <w:lang w:eastAsia="en-GB"/>
        </w:rPr>
      </w:pPr>
      <w:r w:rsidRPr="00887A97">
        <w:rPr>
          <w:rFonts w:eastAsia="Times New Roman" w:cs="Arial"/>
          <w:color w:val="000000"/>
          <w:sz w:val="21"/>
          <w:szCs w:val="21"/>
          <w:lang w:eastAsia="en-GB"/>
        </w:rPr>
        <w:t xml:space="preserve">19. </w:t>
      </w:r>
      <w:r w:rsidRPr="00887A97">
        <w:rPr>
          <w:rFonts w:eastAsia="Times New Roman" w:cs="Arial"/>
          <w:b/>
          <w:bCs/>
          <w:color w:val="000000"/>
          <w:sz w:val="21"/>
          <w:szCs w:val="21"/>
          <w:lang w:eastAsia="en-GB"/>
        </w:rPr>
        <w:t>Therapy dose, recovery phase, and patient factors influencing language outcomes in post-stroke aphasia.</w:t>
      </w:r>
      <w:r w:rsidRPr="00887A97">
        <w:rPr>
          <w:rFonts w:eastAsia="Times New Roman" w:cs="Arial"/>
          <w:b/>
          <w:bCs/>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Authors:</w:t>
      </w:r>
      <w:r w:rsidRPr="00887A97">
        <w:rPr>
          <w:rFonts w:eastAsia="Times New Roman" w:cs="Arial"/>
          <w:color w:val="000000"/>
          <w:sz w:val="21"/>
          <w:szCs w:val="21"/>
          <w:lang w:eastAsia="en-GB"/>
        </w:rPr>
        <w:t xml:space="preserve"> Sancho, Laura Carbonero;Saiz-Vazquez, Olalla;Ortiz-Huerta, Juan Hilario and Santamaria-Vazquez, Montserrat</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Publication Date: </w:t>
      </w:r>
      <w:r w:rsidRPr="00887A97">
        <w:rPr>
          <w:rFonts w:eastAsia="Times New Roman" w:cs="Arial"/>
          <w:color w:val="000000"/>
          <w:sz w:val="21"/>
          <w:szCs w:val="21"/>
          <w:lang w:eastAsia="en-GB"/>
        </w:rPr>
        <w:t>Oct 01 ,2026</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Journal: </w:t>
      </w:r>
      <w:r w:rsidRPr="00887A97">
        <w:rPr>
          <w:rFonts w:eastAsia="Times New Roman" w:cs="Arial"/>
          <w:color w:val="000000"/>
          <w:sz w:val="21"/>
          <w:szCs w:val="21"/>
          <w:lang w:eastAsia="en-GB"/>
        </w:rPr>
        <w:t>Clinics (Sao Paulo, Brazil) 81, pp. 101152</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Abstract: BACKGROUND</w:t>
      </w:r>
      <w:r w:rsidRPr="00887A97">
        <w:rPr>
          <w:rFonts w:eastAsia="Times New Roman" w:cs="Arial"/>
          <w:color w:val="000000"/>
          <w:sz w:val="21"/>
          <w:szCs w:val="21"/>
          <w:lang w:eastAsia="en-GB"/>
        </w:rPr>
        <w:t xml:space="preserve">: Therapy dose is increasingly recognized as an important factor influencing language recovery in post-stroke aphasia, yet evidence from routine clinical practice remains limited. </w:t>
      </w:r>
      <w:r w:rsidRPr="00887A97">
        <w:rPr>
          <w:rFonts w:eastAsia="Times New Roman" w:cs="Arial"/>
          <w:b/>
          <w:bCs/>
          <w:color w:val="000000"/>
          <w:sz w:val="21"/>
          <w:szCs w:val="21"/>
          <w:lang w:eastAsia="en-GB"/>
        </w:rPr>
        <w:t>OBJECTIVE</w:t>
      </w:r>
      <w:r w:rsidRPr="00887A97">
        <w:rPr>
          <w:rFonts w:eastAsia="Times New Roman" w:cs="Arial"/>
          <w:color w:val="000000"/>
          <w:sz w:val="21"/>
          <w:szCs w:val="21"/>
          <w:lang w:eastAsia="en-GB"/>
        </w:rPr>
        <w:t xml:space="preserve">: To examine the relationship between total therapy dose and language outcomes, and to explore the influence of sex, recovery phase, and aphasia type. </w:t>
      </w:r>
      <w:r w:rsidRPr="00887A97">
        <w:rPr>
          <w:rFonts w:eastAsia="Times New Roman" w:cs="Arial"/>
          <w:b/>
          <w:bCs/>
          <w:color w:val="000000"/>
          <w:sz w:val="21"/>
          <w:szCs w:val="21"/>
          <w:lang w:eastAsia="en-GB"/>
        </w:rPr>
        <w:t>METHODS</w:t>
      </w:r>
      <w:r w:rsidRPr="00887A97">
        <w:rPr>
          <w:rFonts w:eastAsia="Times New Roman" w:cs="Arial"/>
          <w:color w:val="000000"/>
          <w:sz w:val="21"/>
          <w:szCs w:val="21"/>
          <w:lang w:eastAsia="en-GB"/>
        </w:rPr>
        <w:t xml:space="preserve">: A longitudinal pre-post study was conducted with 20 adults with aphasia who received eight weeks of individualized speech-language therapy in three rehabilitation centers in Spain. Language performance was assessed with the Spanish version of the Mississippi Aphasia Screening Test (MASTsp). Statistical analyses included Wilcoxon tests, Spearman correlations, regression models, and non-parametric comparisons. </w:t>
      </w:r>
      <w:r w:rsidRPr="00887A97">
        <w:rPr>
          <w:rFonts w:eastAsia="Times New Roman" w:cs="Arial"/>
          <w:b/>
          <w:bCs/>
          <w:color w:val="000000"/>
          <w:sz w:val="21"/>
          <w:szCs w:val="21"/>
          <w:lang w:eastAsia="en-GB"/>
        </w:rPr>
        <w:t>RESULTS</w:t>
      </w:r>
      <w:r w:rsidRPr="00887A97">
        <w:rPr>
          <w:rFonts w:eastAsia="Times New Roman" w:cs="Arial"/>
          <w:color w:val="000000"/>
          <w:sz w:val="21"/>
          <w:szCs w:val="21"/>
          <w:lang w:eastAsia="en-GB"/>
        </w:rPr>
        <w:t xml:space="preserve">: Participants showed significant improvement after intervention (p = 0.003). Therapy dose correlated positively with language gains (r = 0.624, p = 0.003), and receiving &gt;= 20 h predicted greater improvement (p = 0.019). Sex and aphasia type did not significantly influence outcomes. Recovery phase showed a significant effect, with individuals in the acute and subacute stages improving more than those in the chronic phase (p = 0.046). </w:t>
      </w:r>
      <w:r w:rsidRPr="00887A97">
        <w:rPr>
          <w:rFonts w:eastAsia="Times New Roman" w:cs="Arial"/>
          <w:b/>
          <w:bCs/>
          <w:color w:val="000000"/>
          <w:sz w:val="21"/>
          <w:szCs w:val="21"/>
          <w:lang w:eastAsia="en-GB"/>
        </w:rPr>
        <w:t>CONCLUSIONS</w:t>
      </w:r>
      <w:r w:rsidRPr="00887A97">
        <w:rPr>
          <w:rFonts w:eastAsia="Times New Roman" w:cs="Arial"/>
          <w:color w:val="000000"/>
          <w:sz w:val="21"/>
          <w:szCs w:val="21"/>
          <w:lang w:eastAsia="en-GB"/>
        </w:rPr>
        <w:t>: A minimum of 20 therapy hours over eight weeks appears beneficial for language recovery in post-stroke aphasia. Recovery phase emerged as a relevant factor, while sex and aphasia type showed no measurable impact. These findings contribute practice-based evidence supporting the role of therapy dose in aphasia rehabilitation.</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t>Copyright © 2026 HCFMUSP. Published by Elsevier Espana, S.L.U. All rights reserved.</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Access or request full text: </w:t>
      </w:r>
      <w:hyperlink r:id="rId27" w:tgtFrame="_blank" w:history="1">
        <w:r w:rsidRPr="00887A97">
          <w:rPr>
            <w:rFonts w:eastAsia="Times New Roman" w:cs="Arial"/>
            <w:color w:val="0066CC"/>
            <w:sz w:val="21"/>
            <w:szCs w:val="21"/>
            <w:lang w:eastAsia="en-GB"/>
          </w:rPr>
          <w:t>https://libkey.io/10.1016/j.clinsp.2026.101152</w:t>
        </w:r>
      </w:hyperlink>
    </w:p>
    <w:p w14:paraId="2EED3E72" w14:textId="77777777" w:rsidR="00887A97" w:rsidRPr="00887A97" w:rsidRDefault="00887A97" w:rsidP="00887A97">
      <w:pPr>
        <w:shd w:val="clear" w:color="auto" w:fill="FFFFFF"/>
        <w:spacing w:after="173"/>
        <w:ind w:left="450" w:hanging="450"/>
        <w:rPr>
          <w:rFonts w:eastAsia="Times New Roman" w:cs="Arial"/>
          <w:color w:val="000000"/>
          <w:sz w:val="21"/>
          <w:szCs w:val="21"/>
          <w:lang w:eastAsia="en-GB"/>
        </w:rPr>
      </w:pPr>
      <w:r w:rsidRPr="00887A97">
        <w:rPr>
          <w:rFonts w:eastAsia="Times New Roman" w:cs="Arial"/>
          <w:color w:val="000000"/>
          <w:sz w:val="21"/>
          <w:szCs w:val="21"/>
          <w:lang w:eastAsia="en-GB"/>
        </w:rPr>
        <w:t xml:space="preserve">20. </w:t>
      </w:r>
      <w:r w:rsidRPr="00887A97">
        <w:rPr>
          <w:rFonts w:eastAsia="Times New Roman" w:cs="Arial"/>
          <w:b/>
          <w:bCs/>
          <w:color w:val="000000"/>
          <w:sz w:val="21"/>
          <w:szCs w:val="21"/>
          <w:lang w:eastAsia="en-GB"/>
        </w:rPr>
        <w:t>Does a champion-led implementation toolkit have the potential to improve aphasia guideline adherence? Results from a feasibility study.</w:t>
      </w:r>
      <w:r w:rsidRPr="00887A97">
        <w:rPr>
          <w:rFonts w:eastAsia="Times New Roman" w:cs="Arial"/>
          <w:b/>
          <w:bCs/>
          <w:color w:val="000000"/>
          <w:sz w:val="21"/>
          <w:szCs w:val="21"/>
          <w:lang w:eastAsia="en-GB"/>
        </w:rPr>
        <w:br/>
      </w:r>
      <w:r w:rsidRPr="00887A97">
        <w:rPr>
          <w:rFonts w:eastAsia="Times New Roman" w:cs="Arial"/>
          <w:color w:val="000000"/>
          <w:sz w:val="21"/>
          <w:szCs w:val="21"/>
          <w:lang w:eastAsia="en-GB"/>
        </w:rPr>
        <w:lastRenderedPageBreak/>
        <w:br/>
      </w:r>
      <w:r w:rsidRPr="00887A97">
        <w:rPr>
          <w:rFonts w:eastAsia="Times New Roman" w:cs="Arial"/>
          <w:b/>
          <w:bCs/>
          <w:color w:val="000000"/>
          <w:sz w:val="21"/>
          <w:szCs w:val="21"/>
          <w:lang w:eastAsia="en-GB"/>
        </w:rPr>
        <w:t>Authors:</w:t>
      </w:r>
      <w:r w:rsidRPr="00887A97">
        <w:rPr>
          <w:rFonts w:eastAsia="Times New Roman" w:cs="Arial"/>
          <w:color w:val="000000"/>
          <w:sz w:val="21"/>
          <w:szCs w:val="21"/>
          <w:lang w:eastAsia="en-GB"/>
        </w:rPr>
        <w:t xml:space="preserve"> Shrubsole, Kirstine;Levine, Rachel;Lynch, Elizabeth;Briffa, Charmaine;Pierce, John E.;Trebilcock, Megan;Do, Chau-Anh;Wallace, Sarah J. and Power, Emma</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Publication Date: </w:t>
      </w:r>
      <w:r w:rsidRPr="00887A97">
        <w:rPr>
          <w:rFonts w:eastAsia="Times New Roman" w:cs="Arial"/>
          <w:color w:val="000000"/>
          <w:sz w:val="21"/>
          <w:szCs w:val="21"/>
          <w:lang w:eastAsia="en-GB"/>
        </w:rPr>
        <w:t>Oct ,2026</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Journal: </w:t>
      </w:r>
      <w:r w:rsidRPr="00887A97">
        <w:rPr>
          <w:rFonts w:eastAsia="Times New Roman" w:cs="Arial"/>
          <w:color w:val="000000"/>
          <w:sz w:val="21"/>
          <w:szCs w:val="21"/>
          <w:lang w:eastAsia="en-GB"/>
        </w:rPr>
        <w:t>International Journal of Speechlanguage Pathology 28(5), pp. 889–904</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Abstract: PURPOSE</w:t>
      </w:r>
      <w:r w:rsidRPr="00887A97">
        <w:rPr>
          <w:rFonts w:eastAsia="Times New Roman" w:cs="Arial"/>
          <w:color w:val="000000"/>
          <w:sz w:val="21"/>
          <w:szCs w:val="21"/>
          <w:lang w:eastAsia="en-GB"/>
        </w:rPr>
        <w:t xml:space="preserve">: Active implementation efforts are needed to reduce evidence-practice gaps in post-stroke aphasia services. One potential solution is a comprehensive toolkit incorporating evidence-based implementation tools, led by trained Change Champions. We explored the feasibility, acceptability, and potential effectiveness of a prototype toolkit to improve speech-language pathologists' practice. </w:t>
      </w:r>
      <w:r w:rsidRPr="00887A97">
        <w:rPr>
          <w:rFonts w:eastAsia="Times New Roman" w:cs="Arial"/>
          <w:b/>
          <w:bCs/>
          <w:color w:val="000000"/>
          <w:sz w:val="21"/>
          <w:szCs w:val="21"/>
          <w:lang w:eastAsia="en-GB"/>
        </w:rPr>
        <w:t>METHOD</w:t>
      </w:r>
      <w:r w:rsidRPr="00887A97">
        <w:rPr>
          <w:rFonts w:eastAsia="Times New Roman" w:cs="Arial"/>
          <w:color w:val="000000"/>
          <w:sz w:val="21"/>
          <w:szCs w:val="21"/>
          <w:lang w:eastAsia="en-GB"/>
        </w:rPr>
        <w:t>: Mixed-methods, pre-post, feasibility study within one Australian health service (</w:t>
      </w:r>
      <w:r w:rsidRPr="00887A97">
        <w:rPr>
          <w:rFonts w:eastAsia="Times New Roman" w:cs="Arial"/>
          <w:i/>
          <w:iCs/>
          <w:color w:val="000000"/>
          <w:sz w:val="21"/>
          <w:szCs w:val="21"/>
          <w:lang w:eastAsia="en-GB"/>
        </w:rPr>
        <w:t>n</w:t>
      </w:r>
      <w:r w:rsidRPr="00887A97">
        <w:rPr>
          <w:rFonts w:eastAsia="Times New Roman" w:cs="Arial"/>
          <w:color w:val="000000"/>
          <w:sz w:val="21"/>
          <w:szCs w:val="21"/>
          <w:lang w:eastAsia="en-GB"/>
        </w:rPr>
        <w:t xml:space="preserve"> = 12 speech-language pathologists). Two Change Champions completed training then selected tools to support provision of written aphasia-friendly information for 3 months. Outcome measures included: a) Pre-post medical record audits, b) pre-post behavioural-determinants surveys, and c) post-study clinician focus groups. Data were analysed using descriptive statistics and non-parametric tests for quantitative data and content analysis for qualitative data, then integrated using a convergent interactive approach. </w:t>
      </w:r>
      <w:r w:rsidRPr="00887A97">
        <w:rPr>
          <w:rFonts w:eastAsia="Times New Roman" w:cs="Arial"/>
          <w:b/>
          <w:bCs/>
          <w:color w:val="000000"/>
          <w:sz w:val="21"/>
          <w:szCs w:val="21"/>
          <w:lang w:eastAsia="en-GB"/>
        </w:rPr>
        <w:t>RESULT</w:t>
      </w:r>
      <w:r w:rsidRPr="00887A97">
        <w:rPr>
          <w:rFonts w:eastAsia="Times New Roman" w:cs="Arial"/>
          <w:color w:val="000000"/>
          <w:sz w:val="21"/>
          <w:szCs w:val="21"/>
          <w:lang w:eastAsia="en-GB"/>
        </w:rPr>
        <w:t xml:space="preserve">: Clinicians perceived the toolkit was feasible and acceptable, and highlighted the benefit of Change Champions and resources in facilitating change. Post-implementation written aphasia-friendly information provision increased by 60% (p = 0.005) and most (12/14) targeted barriers improved, suggesting the toolkit with Change Champion support had the potential to improve practice. </w:t>
      </w:r>
      <w:r w:rsidRPr="00887A97">
        <w:rPr>
          <w:rFonts w:eastAsia="Times New Roman" w:cs="Arial"/>
          <w:b/>
          <w:bCs/>
          <w:color w:val="000000"/>
          <w:sz w:val="21"/>
          <w:szCs w:val="21"/>
          <w:lang w:eastAsia="en-GB"/>
        </w:rPr>
        <w:t>CONCLUSION</w:t>
      </w:r>
      <w:r w:rsidRPr="00887A97">
        <w:rPr>
          <w:rFonts w:eastAsia="Times New Roman" w:cs="Arial"/>
          <w:color w:val="000000"/>
          <w:sz w:val="21"/>
          <w:szCs w:val="21"/>
          <w:lang w:eastAsia="en-GB"/>
        </w:rPr>
        <w:t>: The champion-led implementation toolkit prototype was feasible and acceptable, improving guideline-recommended aphasia care. Result support further development of a theory-informed, tailorable implementation toolkit to improve aphasia services.</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Access or request full text: </w:t>
      </w:r>
      <w:hyperlink r:id="rId28" w:tgtFrame="_blank" w:history="1">
        <w:r w:rsidRPr="00887A97">
          <w:rPr>
            <w:rFonts w:eastAsia="Times New Roman" w:cs="Arial"/>
            <w:color w:val="0066CC"/>
            <w:sz w:val="21"/>
            <w:szCs w:val="21"/>
            <w:lang w:eastAsia="en-GB"/>
          </w:rPr>
          <w:t>https://libkey.io/10.1080/17549507.2025.2573342</w:t>
        </w:r>
      </w:hyperlink>
    </w:p>
    <w:p w14:paraId="5E816597" w14:textId="4F6ADD23" w:rsidR="00887A97" w:rsidRPr="00887A97" w:rsidRDefault="00887A97" w:rsidP="00887A97">
      <w:pPr>
        <w:shd w:val="clear" w:color="auto" w:fill="FFFFFF"/>
        <w:spacing w:after="173"/>
        <w:ind w:left="450" w:hanging="450"/>
        <w:rPr>
          <w:rFonts w:eastAsia="Times New Roman" w:cs="Arial"/>
          <w:color w:val="000000"/>
          <w:sz w:val="21"/>
          <w:szCs w:val="21"/>
          <w:lang w:eastAsia="en-GB"/>
        </w:rPr>
      </w:pPr>
      <w:r w:rsidRPr="00887A97">
        <w:rPr>
          <w:rFonts w:eastAsia="Times New Roman" w:cs="Arial"/>
          <w:color w:val="000000"/>
          <w:sz w:val="21"/>
          <w:szCs w:val="21"/>
          <w:lang w:eastAsia="en-GB"/>
        </w:rPr>
        <w:t xml:space="preserve">21. </w:t>
      </w:r>
      <w:r w:rsidRPr="00887A97">
        <w:rPr>
          <w:rFonts w:eastAsia="Times New Roman" w:cs="Arial"/>
          <w:b/>
          <w:bCs/>
          <w:color w:val="000000"/>
          <w:sz w:val="21"/>
          <w:szCs w:val="21"/>
          <w:lang w:eastAsia="en-GB"/>
        </w:rPr>
        <w:t>Improving communication partner training of familiar partners of people with aphasia: results of a pilot stepped wedge implementation trial and embedded process evaluation.</w:t>
      </w:r>
      <w:r w:rsidRPr="00887A97">
        <w:rPr>
          <w:rFonts w:eastAsia="Times New Roman" w:cs="Arial"/>
          <w:b/>
          <w:bCs/>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Authors:</w:t>
      </w:r>
      <w:r w:rsidRPr="00887A97">
        <w:rPr>
          <w:rFonts w:eastAsia="Times New Roman" w:cs="Arial"/>
          <w:color w:val="000000"/>
          <w:sz w:val="21"/>
          <w:szCs w:val="21"/>
          <w:lang w:eastAsia="en-GB"/>
        </w:rPr>
        <w:t xml:space="preserve"> Shrubsole, Kirstine;Rogers, Kris;Wallace, Sarah J.;Isaacs, Megan;Ong, Wen Xuan;Worrall, Linda;McCluskey, Annie and Power, Emma</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Publication Date: </w:t>
      </w:r>
      <w:r w:rsidRPr="00887A97">
        <w:rPr>
          <w:rFonts w:eastAsia="Times New Roman" w:cs="Arial"/>
          <w:color w:val="000000"/>
          <w:sz w:val="21"/>
          <w:szCs w:val="21"/>
          <w:lang w:eastAsia="en-GB"/>
        </w:rPr>
        <w:t>Mar ,2026</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Journal: </w:t>
      </w:r>
      <w:r w:rsidRPr="00887A97">
        <w:rPr>
          <w:rFonts w:eastAsia="Times New Roman" w:cs="Arial"/>
          <w:color w:val="000000"/>
          <w:sz w:val="21"/>
          <w:szCs w:val="21"/>
          <w:lang w:eastAsia="en-GB"/>
        </w:rPr>
        <w:t>Disability &amp; Rehabilitation 48(5), pp. 1314–1334</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Abstract: </w:t>
      </w:r>
      <w:r w:rsidRPr="00887A97">
        <w:rPr>
          <w:rFonts w:eastAsia="Times New Roman" w:cs="Arial"/>
          <w:color w:val="000000"/>
          <w:sz w:val="21"/>
          <w:szCs w:val="21"/>
          <w:lang w:eastAsia="en-GB"/>
        </w:rPr>
        <w:t xml:space="preserve">PURPOSE: Communication Partner Training (CPT) improves communication between people with aphasia and their families and friends, but there is considerable variation in practice. We evaluated the outcomes of an implementation package on speech pathologists' delivery of CPT to familiar partners of people with aphasia, and factors influencing outcomes. METHODS: 12-month pilot stepped wedge cluster non-randomised controlled trial and process evaluation involving three health services. Implementation package included online training, workshops, resources, and support. Data were collected through audits, clinician behaviour-change surveys, training logs, checklists, questionnaires, and focus groups. RESULTS: Thirty-six clinicians participated, and 113 patient files were audited. Post-implementation, there was a 26% increase in familiar partners being offered CPT and an 18% increase in those provided CPT. Significant improvements were recorded between immediate pre/post implementation time-points (offering CPT: </w:t>
      </w:r>
      <w:r w:rsidRPr="00887A97">
        <w:rPr>
          <w:rFonts w:eastAsia="Times New Roman" w:cs="Arial"/>
          <w:i/>
          <w:iCs/>
          <w:color w:val="000000"/>
          <w:sz w:val="21"/>
          <w:szCs w:val="21"/>
          <w:lang w:eastAsia="en-GB"/>
        </w:rPr>
        <w:t>p</w:t>
      </w:r>
      <w:r w:rsidRPr="00887A97">
        <w:rPr>
          <w:rFonts w:eastAsia="Times New Roman" w:cs="Arial"/>
          <w:color w:val="000000"/>
          <w:sz w:val="21"/>
          <w:szCs w:val="21"/>
          <w:lang w:eastAsia="en-GB"/>
        </w:rPr>
        <w:t xml:space="preserve"> = 0.004; providing CPT: </w:t>
      </w:r>
      <w:r w:rsidRPr="00887A97">
        <w:rPr>
          <w:rFonts w:eastAsia="Times New Roman" w:cs="Arial"/>
          <w:i/>
          <w:iCs/>
          <w:color w:val="000000"/>
          <w:sz w:val="21"/>
          <w:szCs w:val="21"/>
          <w:lang w:eastAsia="en-GB"/>
        </w:rPr>
        <w:t>p</w:t>
      </w:r>
      <w:r w:rsidRPr="00887A97">
        <w:rPr>
          <w:rFonts w:eastAsia="Times New Roman" w:cs="Arial"/>
          <w:color w:val="000000"/>
          <w:sz w:val="21"/>
          <w:szCs w:val="21"/>
          <w:lang w:eastAsia="en-GB"/>
        </w:rPr>
        <w:t xml:space="preserve"> = 0.021), and more comprehensive CPT practice was provided, but change was not sustained. Total behaviour-change scores increased (</w:t>
      </w:r>
      <w:r w:rsidRPr="00887A97">
        <w:rPr>
          <w:rFonts w:eastAsia="Times New Roman" w:cs="Arial"/>
          <w:i/>
          <w:iCs/>
          <w:color w:val="000000"/>
          <w:sz w:val="21"/>
          <w:szCs w:val="21"/>
          <w:lang w:eastAsia="en-GB"/>
        </w:rPr>
        <w:t>p</w:t>
      </w:r>
      <w:r w:rsidRPr="00887A97">
        <w:rPr>
          <w:rFonts w:eastAsia="Times New Roman" w:cs="Arial"/>
          <w:color w:val="000000"/>
          <w:sz w:val="21"/>
          <w:szCs w:val="21"/>
          <w:lang w:eastAsia="en-GB"/>
        </w:rPr>
        <w:t xml:space="preserve"> &lt; 0.001), with a higher intervention effect for targeted domains (</w:t>
      </w:r>
      <w:r w:rsidRPr="00887A97">
        <w:rPr>
          <w:rFonts w:eastAsia="Times New Roman" w:cs="Arial"/>
          <w:i/>
          <w:iCs/>
          <w:color w:val="000000"/>
          <w:sz w:val="21"/>
          <w:szCs w:val="21"/>
          <w:lang w:eastAsia="en-GB"/>
        </w:rPr>
        <w:t>p</w:t>
      </w:r>
      <w:r w:rsidRPr="00887A97">
        <w:rPr>
          <w:rFonts w:eastAsia="Times New Roman" w:cs="Arial"/>
          <w:color w:val="000000"/>
          <w:sz w:val="21"/>
          <w:szCs w:val="21"/>
          <w:lang w:eastAsia="en-GB"/>
        </w:rPr>
        <w:t xml:space="preserve"> &lt; 0.001). Clinicians reported valuing and intending to implement CPT, but organisational barriers and patient-partner dynamics impacted </w:t>
      </w:r>
      <w:r w:rsidRPr="00887A97">
        <w:rPr>
          <w:rFonts w:eastAsia="Times New Roman" w:cs="Arial"/>
          <w:color w:val="000000"/>
          <w:sz w:val="21"/>
          <w:szCs w:val="21"/>
          <w:lang w:eastAsia="en-GB"/>
        </w:rPr>
        <w:lastRenderedPageBreak/>
        <w:t>outcomes.</w:t>
      </w:r>
      <w:r>
        <w:rPr>
          <w:rFonts w:eastAsia="Times New Roman" w:cs="Arial"/>
          <w:color w:val="000000"/>
          <w:sz w:val="21"/>
          <w:szCs w:val="21"/>
          <w:lang w:eastAsia="en-GB"/>
        </w:rPr>
        <w:t xml:space="preserve"> </w:t>
      </w:r>
      <w:r w:rsidRPr="00887A97">
        <w:rPr>
          <w:rFonts w:eastAsia="Times New Roman" w:cs="Arial"/>
          <w:color w:val="000000"/>
          <w:sz w:val="21"/>
          <w:szCs w:val="21"/>
          <w:lang w:eastAsia="en-GB"/>
        </w:rPr>
        <w:t>CONCLUSION: Short-term improvements in CPT practice were observed, but change was not sustained. Longer-term support and CPT tailored to readiness and stage of recovery is needed</w:t>
      </w:r>
      <w:r>
        <w:rPr>
          <w:rFonts w:eastAsia="Times New Roman" w:cs="Arial"/>
          <w:color w:val="000000"/>
          <w:sz w:val="21"/>
          <w:szCs w:val="21"/>
          <w:lang w:eastAsia="en-GB"/>
        </w:rPr>
        <w:t>.</w:t>
      </w:r>
      <w:r w:rsidRPr="00887A97">
        <w:rPr>
          <w:rFonts w:eastAsia="Times New Roman" w:cs="Arial"/>
          <w:color w:val="000000"/>
          <w:sz w:val="21"/>
          <w:szCs w:val="21"/>
          <w:lang w:eastAsia="en-GB"/>
        </w:rPr>
        <w:t xml:space="preserve"> </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Access or request full text: </w:t>
      </w:r>
      <w:hyperlink r:id="rId29" w:tgtFrame="_blank" w:history="1">
        <w:r w:rsidRPr="00887A97">
          <w:rPr>
            <w:rFonts w:eastAsia="Times New Roman" w:cs="Arial"/>
            <w:color w:val="0066CC"/>
            <w:sz w:val="21"/>
            <w:szCs w:val="21"/>
            <w:lang w:eastAsia="en-GB"/>
          </w:rPr>
          <w:t>https://libkey.io/10.1080/09638288.2025.2534525</w:t>
        </w:r>
      </w:hyperlink>
    </w:p>
    <w:p w14:paraId="25234B51" w14:textId="4F71ADCF" w:rsidR="00887A97" w:rsidRPr="00887A97" w:rsidRDefault="00887A97" w:rsidP="00887A97">
      <w:pPr>
        <w:shd w:val="clear" w:color="auto" w:fill="FFFFFF"/>
        <w:spacing w:after="173"/>
        <w:ind w:left="450" w:hanging="450"/>
        <w:rPr>
          <w:rFonts w:eastAsia="Times New Roman" w:cs="Arial"/>
          <w:color w:val="000000"/>
          <w:sz w:val="21"/>
          <w:szCs w:val="21"/>
          <w:lang w:eastAsia="en-GB"/>
        </w:rPr>
      </w:pPr>
      <w:r w:rsidRPr="00887A97">
        <w:rPr>
          <w:rFonts w:eastAsia="Times New Roman" w:cs="Arial"/>
          <w:color w:val="000000"/>
          <w:sz w:val="21"/>
          <w:szCs w:val="21"/>
          <w:lang w:eastAsia="en-GB"/>
        </w:rPr>
        <w:t xml:space="preserve">22. </w:t>
      </w:r>
      <w:r w:rsidRPr="00887A97">
        <w:rPr>
          <w:rFonts w:eastAsia="Times New Roman" w:cs="Arial"/>
          <w:b/>
          <w:bCs/>
          <w:color w:val="000000"/>
          <w:sz w:val="21"/>
          <w:szCs w:val="21"/>
          <w:lang w:eastAsia="en-GB"/>
        </w:rPr>
        <w:t>"Curious but Overwhelmed": Care Partner Perspectives on Education, Resources, and Coping After Aphasia Diagnosis.</w:t>
      </w:r>
      <w:r w:rsidRPr="00887A97">
        <w:rPr>
          <w:rFonts w:eastAsia="Times New Roman" w:cs="Arial"/>
          <w:b/>
          <w:bCs/>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Authors:</w:t>
      </w:r>
      <w:r w:rsidRPr="00887A97">
        <w:rPr>
          <w:rFonts w:eastAsia="Times New Roman" w:cs="Arial"/>
          <w:color w:val="000000"/>
          <w:sz w:val="21"/>
          <w:szCs w:val="21"/>
          <w:lang w:eastAsia="en-GB"/>
        </w:rPr>
        <w:t xml:space="preserve"> Terry, Grace E.;Brello, Jennifer M. and Harnish, Stacy M.</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Publication Date: </w:t>
      </w:r>
      <w:r w:rsidRPr="00887A97">
        <w:rPr>
          <w:rFonts w:eastAsia="Times New Roman" w:cs="Arial"/>
          <w:color w:val="000000"/>
          <w:sz w:val="21"/>
          <w:szCs w:val="21"/>
          <w:lang w:eastAsia="en-GB"/>
        </w:rPr>
        <w:t>Aug 06 ,2026</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Journal: </w:t>
      </w:r>
      <w:r w:rsidRPr="00887A97">
        <w:rPr>
          <w:rFonts w:eastAsia="Times New Roman" w:cs="Arial"/>
          <w:color w:val="000000"/>
          <w:sz w:val="21"/>
          <w:szCs w:val="21"/>
          <w:lang w:eastAsia="en-GB"/>
        </w:rPr>
        <w:t>American Journal of Speech-Language Pathology 1-12</w:t>
      </w:r>
      <w:r>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Abstract: PURPOSE</w:t>
      </w:r>
      <w:r w:rsidRPr="00887A97">
        <w:rPr>
          <w:rFonts w:eastAsia="Times New Roman" w:cs="Arial"/>
          <w:color w:val="000000"/>
          <w:sz w:val="21"/>
          <w:szCs w:val="21"/>
          <w:lang w:eastAsia="en-GB"/>
        </w:rPr>
        <w:t xml:space="preserve">: Care partners of people with aphasia (PWA) are faced with unique challenges, as their loved one's loss of communication may create specific barriers to expression, mutual understanding, and interaction. Previous research has investigated the challenges faced by care partners of PWA. However, there is limited research that investigates the perceived aphasia education needs of these care partners. The purpose of the present study is to investigate the perspectives of care partners on education, challenges, benefits, and supports they experience when caring for a loved one with aphasia. This work may provide insight into the complexities of the experience of living as a care partner of someone with aphasia. </w:t>
      </w:r>
      <w:r w:rsidRPr="00887A97">
        <w:rPr>
          <w:rFonts w:eastAsia="Times New Roman" w:cs="Arial"/>
          <w:b/>
          <w:bCs/>
          <w:color w:val="000000"/>
          <w:sz w:val="21"/>
          <w:szCs w:val="21"/>
          <w:lang w:eastAsia="en-GB"/>
        </w:rPr>
        <w:t>METHOD</w:t>
      </w:r>
      <w:r w:rsidRPr="00887A97">
        <w:rPr>
          <w:rFonts w:eastAsia="Times New Roman" w:cs="Arial"/>
          <w:color w:val="000000"/>
          <w:sz w:val="21"/>
          <w:szCs w:val="21"/>
          <w:lang w:eastAsia="en-GB"/>
        </w:rPr>
        <w:t xml:space="preserve">: We conducted three virtual focus groups, each including four participants. We asked each group a series of semistructured interview questions. The first and second authors coded the data and derived themes. </w:t>
      </w:r>
      <w:r w:rsidRPr="00887A97">
        <w:rPr>
          <w:rFonts w:eastAsia="Times New Roman" w:cs="Arial"/>
          <w:b/>
          <w:bCs/>
          <w:color w:val="000000"/>
          <w:sz w:val="21"/>
          <w:szCs w:val="21"/>
          <w:lang w:eastAsia="en-GB"/>
        </w:rPr>
        <w:t>RESULTS</w:t>
      </w:r>
      <w:r w:rsidRPr="00887A97">
        <w:rPr>
          <w:rFonts w:eastAsia="Times New Roman" w:cs="Arial"/>
          <w:color w:val="000000"/>
          <w:sz w:val="21"/>
          <w:szCs w:val="21"/>
          <w:lang w:eastAsia="en-GB"/>
        </w:rPr>
        <w:t xml:space="preserve">: Following analysis of the focus group data, our team identified themes that highlighted the importance of education, the challenging and rewarding aspects of being a care partner to a PWA, and the power of a support system for care partners. </w:t>
      </w:r>
      <w:r w:rsidRPr="00887A97">
        <w:rPr>
          <w:rFonts w:eastAsia="Times New Roman" w:cs="Arial"/>
          <w:b/>
          <w:bCs/>
          <w:color w:val="000000"/>
          <w:sz w:val="21"/>
          <w:szCs w:val="21"/>
          <w:lang w:eastAsia="en-GB"/>
        </w:rPr>
        <w:t>CONCLUSIONS</w:t>
      </w:r>
      <w:r w:rsidRPr="00887A97">
        <w:rPr>
          <w:rFonts w:eastAsia="Times New Roman" w:cs="Arial"/>
          <w:color w:val="000000"/>
          <w:sz w:val="21"/>
          <w:szCs w:val="21"/>
          <w:lang w:eastAsia="en-GB"/>
        </w:rPr>
        <w:t>: Care partners experience a range of different education needs, challenges, and benefits. Thus, there is no single plan of care that best fits all care partners; education should be person centered based on the needs of each family unit. These results serve as a guide for clinicians as well as underscore the importance of exploring first-hand accounts of care partner experiences in future studies.</w:t>
      </w:r>
      <w:r w:rsidRPr="00887A97">
        <w:rPr>
          <w:rFonts w:eastAsia="Times New Roman" w:cs="Arial"/>
          <w:color w:val="000000"/>
          <w:sz w:val="21"/>
          <w:szCs w:val="21"/>
          <w:lang w:eastAsia="en-GB"/>
        </w:rPr>
        <w:br/>
      </w:r>
      <w:r w:rsidRPr="00887A97">
        <w:rPr>
          <w:rFonts w:eastAsia="Times New Roman" w:cs="Arial"/>
          <w:color w:val="000000"/>
          <w:sz w:val="21"/>
          <w:szCs w:val="21"/>
          <w:lang w:eastAsia="en-GB"/>
        </w:rPr>
        <w:br/>
      </w:r>
      <w:r w:rsidRPr="00887A97">
        <w:rPr>
          <w:rFonts w:eastAsia="Times New Roman" w:cs="Arial"/>
          <w:b/>
          <w:bCs/>
          <w:color w:val="000000"/>
          <w:sz w:val="21"/>
          <w:szCs w:val="21"/>
          <w:lang w:eastAsia="en-GB"/>
        </w:rPr>
        <w:t xml:space="preserve">Access or request full text: </w:t>
      </w:r>
      <w:hyperlink r:id="rId30" w:tgtFrame="_blank" w:history="1">
        <w:r w:rsidRPr="00887A97">
          <w:rPr>
            <w:rFonts w:eastAsia="Times New Roman" w:cs="Arial"/>
            <w:color w:val="0066CC"/>
            <w:sz w:val="21"/>
            <w:szCs w:val="21"/>
            <w:lang w:eastAsia="en-GB"/>
          </w:rPr>
          <w:t>https://libkey.io/10.1044/2026_AJSLP-25-00375</w:t>
        </w:r>
      </w:hyperlink>
    </w:p>
    <w:p w14:paraId="14D2C4F3" w14:textId="560D26C2" w:rsidR="003E7AE2" w:rsidRDefault="00887A97" w:rsidP="00887A97">
      <w:r w:rsidRPr="00887A97">
        <w:rPr>
          <w:rFonts w:eastAsia="Times New Roman" w:cs="Arial"/>
          <w:color w:val="000000"/>
          <w:sz w:val="21"/>
          <w:szCs w:val="21"/>
          <w:lang w:eastAsia="en-GB"/>
        </w:rPr>
        <w:br/>
      </w:r>
      <w:r w:rsidRPr="00887A97">
        <w:rPr>
          <w:rFonts w:eastAsia="Times New Roman" w:cs="Arial"/>
          <w:i/>
          <w:iCs/>
          <w:color w:val="000000"/>
          <w:sz w:val="21"/>
          <w:szCs w:val="21"/>
          <w:shd w:val="clear" w:color="auto" w:fill="FFFFFF"/>
          <w:lang w:eastAsia="en-GB"/>
        </w:rPr>
        <w:t xml:space="preserve">You will need your </w:t>
      </w:r>
      <w:hyperlink r:id="rId31" w:history="1">
        <w:r w:rsidRPr="00887A97">
          <w:rPr>
            <w:rFonts w:eastAsia="Times New Roman" w:cs="Arial"/>
            <w:i/>
            <w:iCs/>
            <w:color w:val="0066CC"/>
            <w:sz w:val="21"/>
            <w:szCs w:val="21"/>
            <w:lang w:eastAsia="en-GB"/>
          </w:rPr>
          <w:t>NHS OpenAthens account</w:t>
        </w:r>
      </w:hyperlink>
      <w:r w:rsidRPr="00887A97">
        <w:rPr>
          <w:rFonts w:eastAsia="Times New Roman" w:cs="Arial"/>
          <w:i/>
          <w:iCs/>
          <w:color w:val="000000"/>
          <w:sz w:val="21"/>
          <w:szCs w:val="21"/>
          <w:shd w:val="clear" w:color="auto" w:fill="FFFFFF"/>
          <w:lang w:eastAsia="en-GB"/>
        </w:rPr>
        <w:t xml:space="preserve"> to access the full text of licenced content.</w:t>
      </w:r>
      <w:r w:rsidRPr="00887A97">
        <w:rPr>
          <w:rFonts w:eastAsia="Times New Roman" w:cs="Arial"/>
          <w:color w:val="000000"/>
          <w:sz w:val="21"/>
          <w:szCs w:val="21"/>
          <w:lang w:eastAsia="en-GB"/>
        </w:rPr>
        <w:br/>
      </w:r>
      <w:r w:rsidRPr="00887A97">
        <w:rPr>
          <w:rFonts w:eastAsia="Times New Roman" w:cs="Arial"/>
          <w:i/>
          <w:iCs/>
          <w:color w:val="000000"/>
          <w:sz w:val="21"/>
          <w:szCs w:val="21"/>
          <w:shd w:val="clear" w:color="auto" w:fill="FFFFFF"/>
          <w:lang w:eastAsia="en-GB"/>
        </w:rPr>
        <w:t>This service is provided to the NHS in England by NHSE Workforce, Training &amp; Education.</w:t>
      </w:r>
    </w:p>
    <w:p w14:paraId="74DA4E74" w14:textId="77777777" w:rsidR="003E7AE2" w:rsidRDefault="003E7AE2" w:rsidP="003E7AE2">
      <w:pPr>
        <w:pStyle w:val="Heading1"/>
      </w:pPr>
      <w:bookmarkStart w:id="1" w:name="_Toc242972420"/>
      <w:r>
        <w:t>Dysarthria</w:t>
      </w:r>
      <w:bookmarkEnd w:id="1"/>
    </w:p>
    <w:p w14:paraId="0CC8BE11" w14:textId="08D23F39" w:rsidR="00FC408A" w:rsidRPr="00FC408A" w:rsidRDefault="00FC408A" w:rsidP="00FC408A">
      <w:pPr>
        <w:shd w:val="clear" w:color="auto" w:fill="FFFFFF"/>
        <w:spacing w:after="173"/>
        <w:ind w:left="450" w:hanging="450"/>
        <w:rPr>
          <w:rFonts w:eastAsia="Times New Roman" w:cs="Arial"/>
          <w:color w:val="000000"/>
          <w:sz w:val="21"/>
          <w:szCs w:val="21"/>
          <w:lang w:eastAsia="en-GB"/>
        </w:rPr>
      </w:pPr>
      <w:r w:rsidRPr="00FC408A">
        <w:rPr>
          <w:rFonts w:eastAsia="Times New Roman" w:cs="Arial"/>
          <w:color w:val="000000"/>
          <w:sz w:val="21"/>
          <w:szCs w:val="21"/>
          <w:lang w:eastAsia="en-GB"/>
        </w:rPr>
        <w:t xml:space="preserve">1. </w:t>
      </w:r>
      <w:r w:rsidRPr="00FC408A">
        <w:rPr>
          <w:rFonts w:eastAsia="Times New Roman" w:cs="Arial"/>
          <w:b/>
          <w:bCs/>
          <w:color w:val="000000"/>
          <w:sz w:val="21"/>
          <w:szCs w:val="21"/>
          <w:lang w:eastAsia="en-GB"/>
        </w:rPr>
        <w:t>Voice Disorders and Speech Intelligibility in Developmental Dysarthria: Influence of Speech Task.</w:t>
      </w:r>
      <w:r w:rsidRPr="00FC408A">
        <w:rPr>
          <w:rFonts w:eastAsia="Times New Roman" w:cs="Arial"/>
          <w:b/>
          <w:bCs/>
          <w:color w:val="000000"/>
          <w:sz w:val="21"/>
          <w:szCs w:val="21"/>
          <w:lang w:eastAsia="en-GB"/>
        </w:rPr>
        <w:br/>
      </w:r>
      <w:r w:rsidRPr="00FC408A">
        <w:rPr>
          <w:rFonts w:eastAsia="Times New Roman" w:cs="Arial"/>
          <w:color w:val="000000"/>
          <w:sz w:val="21"/>
          <w:szCs w:val="21"/>
          <w:lang w:eastAsia="en-GB"/>
        </w:rPr>
        <w:br/>
      </w:r>
      <w:r w:rsidRPr="00FC408A">
        <w:rPr>
          <w:rFonts w:eastAsia="Times New Roman" w:cs="Arial"/>
          <w:b/>
          <w:bCs/>
          <w:color w:val="000000"/>
          <w:sz w:val="21"/>
          <w:szCs w:val="21"/>
          <w:lang w:eastAsia="en-GB"/>
        </w:rPr>
        <w:t>Authors:</w:t>
      </w:r>
      <w:r w:rsidRPr="00FC408A">
        <w:rPr>
          <w:rFonts w:eastAsia="Times New Roman" w:cs="Arial"/>
          <w:color w:val="000000"/>
          <w:sz w:val="21"/>
          <w:szCs w:val="21"/>
          <w:lang w:eastAsia="en-GB"/>
        </w:rPr>
        <w:t xml:space="preserve"> Carl, Micalle;Shmuel, Sapir Amira and Icht, Michal</w:t>
      </w:r>
      <w:r w:rsidRPr="00FC408A">
        <w:rPr>
          <w:rFonts w:eastAsia="Times New Roman" w:cs="Arial"/>
          <w:color w:val="000000"/>
          <w:sz w:val="21"/>
          <w:szCs w:val="21"/>
          <w:lang w:eastAsia="en-GB"/>
        </w:rPr>
        <w:br/>
      </w:r>
      <w:r w:rsidRPr="00FC408A">
        <w:rPr>
          <w:rFonts w:eastAsia="Times New Roman" w:cs="Arial"/>
          <w:color w:val="000000"/>
          <w:sz w:val="21"/>
          <w:szCs w:val="21"/>
          <w:lang w:eastAsia="en-GB"/>
        </w:rPr>
        <w:br/>
      </w:r>
      <w:r w:rsidRPr="00FC408A">
        <w:rPr>
          <w:rFonts w:eastAsia="Times New Roman" w:cs="Arial"/>
          <w:b/>
          <w:bCs/>
          <w:color w:val="000000"/>
          <w:sz w:val="21"/>
          <w:szCs w:val="21"/>
          <w:lang w:eastAsia="en-GB"/>
        </w:rPr>
        <w:t xml:space="preserve">Publication Date: </w:t>
      </w:r>
      <w:r w:rsidRPr="00FC408A">
        <w:rPr>
          <w:rFonts w:eastAsia="Times New Roman" w:cs="Arial"/>
          <w:color w:val="000000"/>
          <w:sz w:val="21"/>
          <w:szCs w:val="21"/>
          <w:lang w:eastAsia="en-GB"/>
        </w:rPr>
        <w:t>2026</w:t>
      </w:r>
      <w:r w:rsidRPr="00FC408A">
        <w:rPr>
          <w:rFonts w:eastAsia="Times New Roman" w:cs="Arial"/>
          <w:color w:val="000000"/>
          <w:sz w:val="21"/>
          <w:szCs w:val="21"/>
          <w:lang w:eastAsia="en-GB"/>
        </w:rPr>
        <w:br/>
      </w:r>
      <w:r w:rsidRPr="00FC408A">
        <w:rPr>
          <w:rFonts w:eastAsia="Times New Roman" w:cs="Arial"/>
          <w:color w:val="000000"/>
          <w:sz w:val="21"/>
          <w:szCs w:val="21"/>
          <w:lang w:eastAsia="en-GB"/>
        </w:rPr>
        <w:br/>
      </w:r>
      <w:r w:rsidRPr="00FC408A">
        <w:rPr>
          <w:rFonts w:eastAsia="Times New Roman" w:cs="Arial"/>
          <w:b/>
          <w:bCs/>
          <w:color w:val="000000"/>
          <w:sz w:val="21"/>
          <w:szCs w:val="21"/>
          <w:lang w:eastAsia="en-GB"/>
        </w:rPr>
        <w:t xml:space="preserve">Journal: </w:t>
      </w:r>
      <w:r w:rsidRPr="00FC408A">
        <w:rPr>
          <w:rFonts w:eastAsia="Times New Roman" w:cs="Arial"/>
          <w:color w:val="000000"/>
          <w:sz w:val="21"/>
          <w:szCs w:val="21"/>
          <w:lang w:eastAsia="en-GB"/>
        </w:rPr>
        <w:t>Journal of Voice</w:t>
      </w:r>
      <w:r w:rsidR="00C04C72">
        <w:rPr>
          <w:rFonts w:eastAsia="Times New Roman" w:cs="Arial"/>
          <w:color w:val="000000"/>
          <w:sz w:val="21"/>
          <w:szCs w:val="21"/>
          <w:lang w:eastAsia="en-GB"/>
        </w:rPr>
        <w:br/>
      </w:r>
      <w:r w:rsidRPr="00FC408A">
        <w:rPr>
          <w:rFonts w:eastAsia="Times New Roman" w:cs="Arial"/>
          <w:color w:val="000000"/>
          <w:sz w:val="21"/>
          <w:szCs w:val="21"/>
          <w:lang w:eastAsia="en-GB"/>
        </w:rPr>
        <w:br/>
      </w:r>
      <w:r w:rsidRPr="00FC408A">
        <w:rPr>
          <w:rFonts w:eastAsia="Times New Roman" w:cs="Arial"/>
          <w:b/>
          <w:bCs/>
          <w:color w:val="000000"/>
          <w:sz w:val="21"/>
          <w:szCs w:val="21"/>
          <w:lang w:eastAsia="en-GB"/>
        </w:rPr>
        <w:t>Abstract: BACKGROUND</w:t>
      </w:r>
      <w:r w:rsidRPr="00FC408A">
        <w:rPr>
          <w:rFonts w:eastAsia="Times New Roman" w:cs="Arial"/>
          <w:color w:val="000000"/>
          <w:sz w:val="21"/>
          <w:szCs w:val="21"/>
          <w:lang w:eastAsia="en-GB"/>
        </w:rPr>
        <w:t xml:space="preserve">: Impairment of the phonatory subsystem is a common feature of developmental dysarthria and may contribute to reduced speech intelligibility. However, voice quality is known to vary as a function of speech task, and the relationship between phonatory functioning and intelligibility across elicitation contexts remains poorly understood. This study aimed to (1) examine speech task effects on acoustic measures of voice quality, and (2) investigate task-specific relationships between voice quality and </w:t>
      </w:r>
      <w:r w:rsidRPr="00FC408A">
        <w:rPr>
          <w:rFonts w:eastAsia="Times New Roman" w:cs="Arial"/>
          <w:color w:val="000000"/>
          <w:sz w:val="21"/>
          <w:szCs w:val="21"/>
          <w:lang w:eastAsia="en-GB"/>
        </w:rPr>
        <w:lastRenderedPageBreak/>
        <w:t xml:space="preserve">intelligibility in children and adolescents with developmental dysarthria. </w:t>
      </w:r>
      <w:r w:rsidRPr="00FC408A">
        <w:rPr>
          <w:rFonts w:eastAsia="Times New Roman" w:cs="Arial"/>
          <w:b/>
          <w:bCs/>
          <w:color w:val="000000"/>
          <w:sz w:val="21"/>
          <w:szCs w:val="21"/>
          <w:lang w:eastAsia="en-GB"/>
        </w:rPr>
        <w:t>METHODS</w:t>
      </w:r>
      <w:r w:rsidRPr="00FC408A">
        <w:rPr>
          <w:rFonts w:eastAsia="Times New Roman" w:cs="Arial"/>
          <w:color w:val="000000"/>
          <w:sz w:val="21"/>
          <w:szCs w:val="21"/>
          <w:lang w:eastAsia="en-GB"/>
        </w:rPr>
        <w:t xml:space="preserve">: Participants with developmental dysarthria (n = 31, mean age: 12;3 years) produced speech across three tasks: sustained phonation (/a/), single-word production (picture naming), and spontaneous speech (picture description). Acoustic measures included cepstral peak prominence (CPP), jitter, shimmer, and harmonic-to-noise ratio (HNR), adapted for connected speech contexts. Speech intelligibility was assessed via transcription for single-word productions and listener ratings for connected speech samples. Perceptual voice quality was evaluated using the GRBAS Grade (G) component for sustained phonation. Linear mixed-effects models examined task effects on voice quality and relationships between acoustic measures and intelligibility. </w:t>
      </w:r>
      <w:r w:rsidRPr="00FC408A">
        <w:rPr>
          <w:rFonts w:eastAsia="Times New Roman" w:cs="Arial"/>
          <w:b/>
          <w:bCs/>
          <w:color w:val="000000"/>
          <w:sz w:val="21"/>
          <w:szCs w:val="21"/>
          <w:lang w:eastAsia="en-GB"/>
        </w:rPr>
        <w:t>RESULTS</w:t>
      </w:r>
      <w:r w:rsidRPr="00FC408A">
        <w:rPr>
          <w:rFonts w:eastAsia="Times New Roman" w:cs="Arial"/>
          <w:color w:val="000000"/>
          <w:sz w:val="21"/>
          <w:szCs w:val="21"/>
          <w:lang w:eastAsia="en-GB"/>
        </w:rPr>
        <w:t xml:space="preserve">: Significant task effects were observed for all acoustic measures. Sustained phonation yielded the most favorable voice quality, followed by connected speech, with single-word productions demonstrating the poorest vocal quality. Acoustic measures of sustained phonation were significantly associated with perceptual ratings, supporting their validity. No significant relationships were found between acoustic voice measures and intelligibility at either the word or connected speech levels. </w:t>
      </w:r>
      <w:r w:rsidRPr="00FC408A">
        <w:rPr>
          <w:rFonts w:eastAsia="Times New Roman" w:cs="Arial"/>
          <w:b/>
          <w:bCs/>
          <w:color w:val="000000"/>
          <w:sz w:val="21"/>
          <w:szCs w:val="21"/>
          <w:lang w:eastAsia="en-GB"/>
        </w:rPr>
        <w:t>CONCLUSIONS</w:t>
      </w:r>
      <w:r w:rsidRPr="00FC408A">
        <w:rPr>
          <w:rFonts w:eastAsia="Times New Roman" w:cs="Arial"/>
          <w:color w:val="000000"/>
          <w:sz w:val="21"/>
          <w:szCs w:val="21"/>
          <w:lang w:eastAsia="en-GB"/>
        </w:rPr>
        <w:t>: Voice quality in developmental dysarthria is strongly influenced by speech task, reflecting differences in motor demands and subsystem integration. Perceptual ratings aligned with acoustic measures during sustained phonation; however, acoustic indices across tasks were not directly associated with intelligibility outcomes. These findings underscore the importance of task selection in voice assessment and suggest that phonatory impairment may not directly capture functional communication outcomes in developmental dysarthria.</w:t>
      </w:r>
      <w:r w:rsidRPr="00FC408A">
        <w:rPr>
          <w:rFonts w:eastAsia="Times New Roman" w:cs="Arial"/>
          <w:color w:val="000000"/>
          <w:sz w:val="21"/>
          <w:szCs w:val="21"/>
          <w:lang w:eastAsia="en-GB"/>
        </w:rPr>
        <w:br/>
      </w:r>
      <w:r w:rsidRPr="00FC408A">
        <w:rPr>
          <w:rFonts w:eastAsia="Times New Roman" w:cs="Arial"/>
          <w:color w:val="000000"/>
          <w:sz w:val="21"/>
          <w:szCs w:val="21"/>
          <w:lang w:eastAsia="en-GB"/>
        </w:rPr>
        <w:br/>
        <w:t>Copyright © 2026 The Voice Foundation. Published by Elsevier Inc. All rights reserved.</w:t>
      </w:r>
      <w:r w:rsidRPr="00FC408A">
        <w:rPr>
          <w:rFonts w:eastAsia="Times New Roman" w:cs="Arial"/>
          <w:color w:val="000000"/>
          <w:sz w:val="21"/>
          <w:szCs w:val="21"/>
          <w:lang w:eastAsia="en-GB"/>
        </w:rPr>
        <w:br/>
      </w:r>
      <w:r w:rsidRPr="00FC408A">
        <w:rPr>
          <w:rFonts w:eastAsia="Times New Roman" w:cs="Arial"/>
          <w:color w:val="000000"/>
          <w:sz w:val="21"/>
          <w:szCs w:val="21"/>
          <w:lang w:eastAsia="en-GB"/>
        </w:rPr>
        <w:br/>
      </w:r>
      <w:r w:rsidRPr="00FC408A">
        <w:rPr>
          <w:rFonts w:eastAsia="Times New Roman" w:cs="Arial"/>
          <w:b/>
          <w:bCs/>
          <w:color w:val="000000"/>
          <w:sz w:val="21"/>
          <w:szCs w:val="21"/>
          <w:lang w:eastAsia="en-GB"/>
        </w:rPr>
        <w:t xml:space="preserve">Access or request full text: </w:t>
      </w:r>
      <w:hyperlink r:id="rId32" w:tgtFrame="_blank" w:history="1">
        <w:r w:rsidRPr="00FC408A">
          <w:rPr>
            <w:rFonts w:eastAsia="Times New Roman" w:cs="Arial"/>
            <w:color w:val="0066CC"/>
            <w:sz w:val="21"/>
            <w:szCs w:val="21"/>
            <w:lang w:eastAsia="en-GB"/>
          </w:rPr>
          <w:t>https://libkey.io/10.1016/j.jvoice.2026.06.002</w:t>
        </w:r>
      </w:hyperlink>
    </w:p>
    <w:p w14:paraId="0C303CD0" w14:textId="77777777" w:rsidR="00FC408A" w:rsidRPr="00FC408A" w:rsidRDefault="00FC408A" w:rsidP="00FC408A">
      <w:pPr>
        <w:shd w:val="clear" w:color="auto" w:fill="FFFFFF"/>
        <w:spacing w:after="173"/>
        <w:ind w:left="450" w:hanging="450"/>
        <w:rPr>
          <w:rFonts w:eastAsia="Times New Roman" w:cs="Arial"/>
          <w:color w:val="000000"/>
          <w:sz w:val="21"/>
          <w:szCs w:val="21"/>
          <w:lang w:eastAsia="en-GB"/>
        </w:rPr>
      </w:pPr>
      <w:r w:rsidRPr="00FC408A">
        <w:rPr>
          <w:rFonts w:eastAsia="Times New Roman" w:cs="Arial"/>
          <w:color w:val="000000"/>
          <w:sz w:val="21"/>
          <w:szCs w:val="21"/>
          <w:lang w:eastAsia="en-GB"/>
        </w:rPr>
        <w:t xml:space="preserve">2. </w:t>
      </w:r>
      <w:r w:rsidRPr="00FC408A">
        <w:rPr>
          <w:rFonts w:eastAsia="Times New Roman" w:cs="Arial"/>
          <w:b/>
          <w:bCs/>
          <w:color w:val="000000"/>
          <w:sz w:val="21"/>
          <w:szCs w:val="21"/>
          <w:lang w:eastAsia="en-GB"/>
        </w:rPr>
        <w:t>Progression of Dysarthria, Drooling, and Swallowing Disorders in Parkinson's Disease: A 1-Year Prospective Cohort Study.</w:t>
      </w:r>
      <w:r w:rsidRPr="00FC408A">
        <w:rPr>
          <w:rFonts w:eastAsia="Times New Roman" w:cs="Arial"/>
          <w:b/>
          <w:bCs/>
          <w:color w:val="000000"/>
          <w:sz w:val="21"/>
          <w:szCs w:val="21"/>
          <w:lang w:eastAsia="en-GB"/>
        </w:rPr>
        <w:br/>
      </w:r>
      <w:r w:rsidRPr="00FC408A">
        <w:rPr>
          <w:rFonts w:eastAsia="Times New Roman" w:cs="Arial"/>
          <w:color w:val="000000"/>
          <w:sz w:val="21"/>
          <w:szCs w:val="21"/>
          <w:lang w:eastAsia="en-GB"/>
        </w:rPr>
        <w:br/>
      </w:r>
      <w:r w:rsidRPr="00FC408A">
        <w:rPr>
          <w:rFonts w:eastAsia="Times New Roman" w:cs="Arial"/>
          <w:b/>
          <w:bCs/>
          <w:color w:val="000000"/>
          <w:sz w:val="21"/>
          <w:szCs w:val="21"/>
          <w:lang w:eastAsia="en-GB"/>
        </w:rPr>
        <w:t>Authors:</w:t>
      </w:r>
      <w:r w:rsidRPr="00FC408A">
        <w:rPr>
          <w:rFonts w:eastAsia="Times New Roman" w:cs="Arial"/>
          <w:color w:val="000000"/>
          <w:sz w:val="21"/>
          <w:szCs w:val="21"/>
          <w:lang w:eastAsia="en-GB"/>
        </w:rPr>
        <w:t xml:space="preserve"> Nascimento, David;Meira, Bruna;Garcez, Luis;Outeiro, Tiago F.;Guimaraes, Isabel and Ferreira, Joaquim J.</w:t>
      </w:r>
      <w:r w:rsidRPr="00FC408A">
        <w:rPr>
          <w:rFonts w:eastAsia="Times New Roman" w:cs="Arial"/>
          <w:color w:val="000000"/>
          <w:sz w:val="21"/>
          <w:szCs w:val="21"/>
          <w:lang w:eastAsia="en-GB"/>
        </w:rPr>
        <w:br/>
      </w:r>
      <w:r w:rsidRPr="00FC408A">
        <w:rPr>
          <w:rFonts w:eastAsia="Times New Roman" w:cs="Arial"/>
          <w:color w:val="000000"/>
          <w:sz w:val="21"/>
          <w:szCs w:val="21"/>
          <w:lang w:eastAsia="en-GB"/>
        </w:rPr>
        <w:br/>
      </w:r>
      <w:r w:rsidRPr="00FC408A">
        <w:rPr>
          <w:rFonts w:eastAsia="Times New Roman" w:cs="Arial"/>
          <w:b/>
          <w:bCs/>
          <w:color w:val="000000"/>
          <w:sz w:val="21"/>
          <w:szCs w:val="21"/>
          <w:lang w:eastAsia="en-GB"/>
        </w:rPr>
        <w:t xml:space="preserve">Publication Date: </w:t>
      </w:r>
      <w:r w:rsidRPr="00FC408A">
        <w:rPr>
          <w:rFonts w:eastAsia="Times New Roman" w:cs="Arial"/>
          <w:color w:val="000000"/>
          <w:sz w:val="21"/>
          <w:szCs w:val="21"/>
          <w:lang w:eastAsia="en-GB"/>
        </w:rPr>
        <w:t>Sep 08 ,2026</w:t>
      </w:r>
      <w:r w:rsidRPr="00FC408A">
        <w:rPr>
          <w:rFonts w:eastAsia="Times New Roman" w:cs="Arial"/>
          <w:color w:val="000000"/>
          <w:sz w:val="21"/>
          <w:szCs w:val="21"/>
          <w:lang w:eastAsia="en-GB"/>
        </w:rPr>
        <w:br/>
      </w:r>
      <w:r w:rsidRPr="00FC408A">
        <w:rPr>
          <w:rFonts w:eastAsia="Times New Roman" w:cs="Arial"/>
          <w:color w:val="000000"/>
          <w:sz w:val="21"/>
          <w:szCs w:val="21"/>
          <w:lang w:eastAsia="en-GB"/>
        </w:rPr>
        <w:br/>
      </w:r>
      <w:r w:rsidRPr="00FC408A">
        <w:rPr>
          <w:rFonts w:eastAsia="Times New Roman" w:cs="Arial"/>
          <w:b/>
          <w:bCs/>
          <w:color w:val="000000"/>
          <w:sz w:val="21"/>
          <w:szCs w:val="21"/>
          <w:lang w:eastAsia="en-GB"/>
        </w:rPr>
        <w:t xml:space="preserve">Journal: </w:t>
      </w:r>
      <w:r w:rsidRPr="00FC408A">
        <w:rPr>
          <w:rFonts w:eastAsia="Times New Roman" w:cs="Arial"/>
          <w:color w:val="000000"/>
          <w:sz w:val="21"/>
          <w:szCs w:val="21"/>
          <w:lang w:eastAsia="en-GB"/>
        </w:rPr>
        <w:t>American Journal of Speech-Language Pathology 35(5), pp. 1967–1981</w:t>
      </w:r>
      <w:r w:rsidRPr="00FC408A">
        <w:rPr>
          <w:rFonts w:eastAsia="Times New Roman" w:cs="Arial"/>
          <w:color w:val="000000"/>
          <w:sz w:val="21"/>
          <w:szCs w:val="21"/>
          <w:lang w:eastAsia="en-GB"/>
        </w:rPr>
        <w:br/>
      </w:r>
      <w:r w:rsidRPr="00FC408A">
        <w:rPr>
          <w:rFonts w:eastAsia="Times New Roman" w:cs="Arial"/>
          <w:color w:val="000000"/>
          <w:sz w:val="21"/>
          <w:szCs w:val="21"/>
          <w:lang w:eastAsia="en-GB"/>
        </w:rPr>
        <w:br/>
      </w:r>
      <w:r w:rsidRPr="00FC408A">
        <w:rPr>
          <w:rFonts w:eastAsia="Times New Roman" w:cs="Arial"/>
          <w:b/>
          <w:bCs/>
          <w:color w:val="000000"/>
          <w:sz w:val="21"/>
          <w:szCs w:val="21"/>
          <w:lang w:eastAsia="en-GB"/>
        </w:rPr>
        <w:t>Abstract: PURPOSE</w:t>
      </w:r>
      <w:r w:rsidRPr="00FC408A">
        <w:rPr>
          <w:rFonts w:eastAsia="Times New Roman" w:cs="Arial"/>
          <w:color w:val="000000"/>
          <w:sz w:val="21"/>
          <w:szCs w:val="21"/>
          <w:lang w:eastAsia="en-GB"/>
        </w:rPr>
        <w:t xml:space="preserve">: Dysarthria, drooling, and swallowing disorders are common motor problems in people with Parkinson's disease (PwP), leading to significant physical, emotional, and functional impairments that compromise quality of life. However, evidence on the progression of these disorders and their relationship with other features of Parkinson's disease (PD) remains scarce. This study aimed to investigate the progression of dysarthria, drooling, and swallowing disorders in PwP and identify predictors of progression. </w:t>
      </w:r>
      <w:r w:rsidRPr="00FC408A">
        <w:rPr>
          <w:rFonts w:eastAsia="Times New Roman" w:cs="Arial"/>
          <w:b/>
          <w:bCs/>
          <w:color w:val="000000"/>
          <w:sz w:val="21"/>
          <w:szCs w:val="21"/>
          <w:lang w:eastAsia="en-GB"/>
        </w:rPr>
        <w:t>METHOD</w:t>
      </w:r>
      <w:r w:rsidRPr="00FC408A">
        <w:rPr>
          <w:rFonts w:eastAsia="Times New Roman" w:cs="Arial"/>
          <w:color w:val="000000"/>
          <w:sz w:val="21"/>
          <w:szCs w:val="21"/>
          <w:lang w:eastAsia="en-GB"/>
        </w:rPr>
        <w:t xml:space="preserve">: A 1-year prospective cohort study was conducted with 73 PwP. Dysarthria was assessed using the Frenchay Dysarthria Assessment-Second Edition (FDA-2), drooling with Item 2.2 (Saliva and drooling) of the Movement Disorder Society-Unified Parkinson's Disease Rating Scale (MDS-UPDRS), and swallowing with the Swallowing Clinical Assessment Score in Parkinson's Disease (SCAS-PD). The FDA-2 and SCAS-PD rely on clinician assessment, whereas MDS-UPDRS Item 2.2 (Saliva and drooling) assesses patient-reported problems with saliva control. The Wilcoxon signed-ranks test for paired samples was used to compare baseline and 1-year follow-up scores, and linear regression was used to identify predictors of progression. </w:t>
      </w:r>
      <w:r w:rsidRPr="00FC408A">
        <w:rPr>
          <w:rFonts w:eastAsia="Times New Roman" w:cs="Arial"/>
          <w:b/>
          <w:bCs/>
          <w:color w:val="000000"/>
          <w:sz w:val="21"/>
          <w:szCs w:val="21"/>
          <w:lang w:eastAsia="en-GB"/>
        </w:rPr>
        <w:t>RESULTS</w:t>
      </w:r>
      <w:r w:rsidRPr="00FC408A">
        <w:rPr>
          <w:rFonts w:eastAsia="Times New Roman" w:cs="Arial"/>
          <w:color w:val="000000"/>
          <w:sz w:val="21"/>
          <w:szCs w:val="21"/>
          <w:lang w:eastAsia="en-GB"/>
        </w:rPr>
        <w:t>: Dysarthria worsened significantly (</w:t>
      </w:r>
      <w:r w:rsidRPr="00FC408A">
        <w:rPr>
          <w:rFonts w:eastAsia="Times New Roman" w:cs="Arial"/>
          <w:i/>
          <w:iCs/>
          <w:color w:val="000000"/>
          <w:sz w:val="21"/>
          <w:szCs w:val="21"/>
          <w:lang w:eastAsia="en-GB"/>
        </w:rPr>
        <w:t>p</w:t>
      </w:r>
      <w:r w:rsidRPr="00FC408A">
        <w:rPr>
          <w:rFonts w:eastAsia="Times New Roman" w:cs="Arial"/>
          <w:color w:val="000000"/>
          <w:sz w:val="21"/>
          <w:szCs w:val="21"/>
          <w:lang w:eastAsia="en-GB"/>
        </w:rPr>
        <w:t xml:space="preserve"> </w:t>
      </w:r>
      <w:r w:rsidRPr="00FC408A">
        <w:rPr>
          <w:rFonts w:eastAsia="Times New Roman" w:cs="Arial"/>
          <w:i/>
          <w:iCs/>
          <w:color w:val="000000"/>
          <w:sz w:val="21"/>
          <w:szCs w:val="21"/>
          <w:lang w:eastAsia="en-GB"/>
        </w:rPr>
        <w:t>SE</w:t>
      </w:r>
      <w:r w:rsidRPr="00FC408A">
        <w:rPr>
          <w:rFonts w:eastAsia="Times New Roman" w:cs="Arial"/>
          <w:color w:val="000000"/>
          <w:sz w:val="21"/>
          <w:szCs w:val="21"/>
          <w:lang w:eastAsia="en-GB"/>
        </w:rPr>
        <w:t xml:space="preserve"> = 0.01; </w:t>
      </w:r>
      <w:r w:rsidRPr="00FC408A">
        <w:rPr>
          <w:rFonts w:eastAsia="Times New Roman" w:cs="Arial"/>
          <w:i/>
          <w:iCs/>
          <w:color w:val="000000"/>
          <w:sz w:val="21"/>
          <w:szCs w:val="21"/>
          <w:lang w:eastAsia="en-GB"/>
        </w:rPr>
        <w:t>p</w:t>
      </w:r>
      <w:r w:rsidRPr="00FC408A">
        <w:rPr>
          <w:rFonts w:eastAsia="Times New Roman" w:cs="Arial"/>
          <w:color w:val="000000"/>
          <w:sz w:val="21"/>
          <w:szCs w:val="21"/>
          <w:lang w:eastAsia="en-GB"/>
        </w:rPr>
        <w:t xml:space="preserve"> = .02) and motor performance (beta = .48; </w:t>
      </w:r>
      <w:r w:rsidRPr="00FC408A">
        <w:rPr>
          <w:rFonts w:eastAsia="Times New Roman" w:cs="Arial"/>
          <w:i/>
          <w:iCs/>
          <w:color w:val="000000"/>
          <w:sz w:val="21"/>
          <w:szCs w:val="21"/>
          <w:lang w:eastAsia="en-GB"/>
        </w:rPr>
        <w:t>SE</w:t>
      </w:r>
      <w:r w:rsidRPr="00FC408A">
        <w:rPr>
          <w:rFonts w:eastAsia="Times New Roman" w:cs="Arial"/>
          <w:color w:val="000000"/>
          <w:sz w:val="21"/>
          <w:szCs w:val="21"/>
          <w:lang w:eastAsia="en-GB"/>
        </w:rPr>
        <w:t xml:space="preserve"> = 0.21; </w:t>
      </w:r>
      <w:r w:rsidRPr="00FC408A">
        <w:rPr>
          <w:rFonts w:eastAsia="Times New Roman" w:cs="Arial"/>
          <w:i/>
          <w:iCs/>
          <w:color w:val="000000"/>
          <w:sz w:val="21"/>
          <w:szCs w:val="21"/>
          <w:lang w:eastAsia="en-GB"/>
        </w:rPr>
        <w:t>p</w:t>
      </w:r>
      <w:r w:rsidRPr="00FC408A">
        <w:rPr>
          <w:rFonts w:eastAsia="Times New Roman" w:cs="Arial"/>
          <w:color w:val="000000"/>
          <w:sz w:val="21"/>
          <w:szCs w:val="21"/>
          <w:lang w:eastAsia="en-GB"/>
        </w:rPr>
        <w:t xml:space="preserve"> = .03). Drooling and swallowing showed a trend toward deterioration, although these changes were not statistically significant (</w:t>
      </w:r>
      <w:r w:rsidRPr="00FC408A">
        <w:rPr>
          <w:rFonts w:eastAsia="Times New Roman" w:cs="Arial"/>
          <w:i/>
          <w:iCs/>
          <w:color w:val="000000"/>
          <w:sz w:val="21"/>
          <w:szCs w:val="21"/>
          <w:lang w:eastAsia="en-GB"/>
        </w:rPr>
        <w:t>p</w:t>
      </w:r>
      <w:r w:rsidRPr="00FC408A">
        <w:rPr>
          <w:rFonts w:eastAsia="Times New Roman" w:cs="Arial"/>
          <w:color w:val="000000"/>
          <w:sz w:val="21"/>
          <w:szCs w:val="21"/>
          <w:lang w:eastAsia="en-GB"/>
        </w:rPr>
        <w:t xml:space="preserve"> &gt; .05). </w:t>
      </w:r>
      <w:r w:rsidRPr="00FC408A">
        <w:rPr>
          <w:rFonts w:eastAsia="Times New Roman" w:cs="Arial"/>
          <w:b/>
          <w:bCs/>
          <w:color w:val="000000"/>
          <w:sz w:val="21"/>
          <w:szCs w:val="21"/>
          <w:lang w:eastAsia="en-GB"/>
        </w:rPr>
        <w:t>CONCLUSIONS</w:t>
      </w:r>
      <w:r w:rsidRPr="00FC408A">
        <w:rPr>
          <w:rFonts w:eastAsia="Times New Roman" w:cs="Arial"/>
          <w:color w:val="000000"/>
          <w:sz w:val="21"/>
          <w:szCs w:val="21"/>
          <w:lang w:eastAsia="en-GB"/>
        </w:rPr>
        <w:t xml:space="preserve">: After 1 year, dysarthria worsened significantly, while drooling and swallowing showed a tendency to decline, but did not reach statistical significance. Assessments based on clinician and patient reports may have limited sensitivity to subtle changes. Dysarthria progression reflected overall PD severity, with poorer cognitive and </w:t>
      </w:r>
      <w:r w:rsidRPr="00FC408A">
        <w:rPr>
          <w:rFonts w:eastAsia="Times New Roman" w:cs="Arial"/>
          <w:color w:val="000000"/>
          <w:sz w:val="21"/>
          <w:szCs w:val="21"/>
          <w:lang w:eastAsia="en-GB"/>
        </w:rPr>
        <w:lastRenderedPageBreak/>
        <w:t xml:space="preserve">motor performance emerging as key predictors. These findings highlight the importance of routine clinical monitoring of these domains and support future studies using instrumental assessments (e.g., acoustic analysis and videofluoroscopic swallow studies) to better capture progression in dysarthria, drooling, and swallowing disorders. </w:t>
      </w:r>
      <w:r w:rsidRPr="00FC408A">
        <w:rPr>
          <w:rFonts w:eastAsia="Times New Roman" w:cs="Arial"/>
          <w:b/>
          <w:bCs/>
          <w:color w:val="000000"/>
          <w:sz w:val="21"/>
          <w:szCs w:val="21"/>
          <w:lang w:eastAsia="en-GB"/>
        </w:rPr>
        <w:t>SUPPLEMENTAL MATERIAL</w:t>
      </w:r>
      <w:r w:rsidRPr="00FC408A">
        <w:rPr>
          <w:rFonts w:eastAsia="Times New Roman" w:cs="Arial"/>
          <w:color w:val="000000"/>
          <w:sz w:val="21"/>
          <w:szCs w:val="21"/>
          <w:lang w:eastAsia="en-GB"/>
        </w:rPr>
        <w:t xml:space="preserve">: </w:t>
      </w:r>
      <w:hyperlink r:id="rId33" w:tgtFrame="_blank" w:history="1">
        <w:r w:rsidRPr="00FC408A">
          <w:rPr>
            <w:rFonts w:eastAsia="Times New Roman" w:cs="Arial"/>
            <w:color w:val="0066CC"/>
            <w:sz w:val="21"/>
            <w:szCs w:val="21"/>
            <w:lang w:eastAsia="en-GB"/>
          </w:rPr>
          <w:t>https://doi.org/10.23641/asha.32764596.</w:t>
        </w:r>
      </w:hyperlink>
      <w:r w:rsidRPr="00FC408A">
        <w:rPr>
          <w:rFonts w:eastAsia="Times New Roman" w:cs="Arial"/>
          <w:color w:val="000000"/>
          <w:sz w:val="21"/>
          <w:szCs w:val="21"/>
          <w:lang w:eastAsia="en-GB"/>
        </w:rPr>
        <w:br/>
      </w:r>
      <w:r w:rsidRPr="00FC408A">
        <w:rPr>
          <w:rFonts w:eastAsia="Times New Roman" w:cs="Arial"/>
          <w:color w:val="000000"/>
          <w:sz w:val="21"/>
          <w:szCs w:val="21"/>
          <w:lang w:eastAsia="en-GB"/>
        </w:rPr>
        <w:br/>
      </w:r>
      <w:r w:rsidRPr="00FC408A">
        <w:rPr>
          <w:rFonts w:eastAsia="Times New Roman" w:cs="Arial"/>
          <w:b/>
          <w:bCs/>
          <w:color w:val="000000"/>
          <w:sz w:val="21"/>
          <w:szCs w:val="21"/>
          <w:lang w:eastAsia="en-GB"/>
        </w:rPr>
        <w:t xml:space="preserve">Access or request full text: </w:t>
      </w:r>
      <w:hyperlink r:id="rId34" w:tgtFrame="_blank" w:history="1">
        <w:r w:rsidRPr="00FC408A">
          <w:rPr>
            <w:rFonts w:eastAsia="Times New Roman" w:cs="Arial"/>
            <w:color w:val="0066CC"/>
            <w:sz w:val="21"/>
            <w:szCs w:val="21"/>
            <w:lang w:eastAsia="en-GB"/>
          </w:rPr>
          <w:t>https://libkey.io/10.1044/2026_AJSLP-25-00087</w:t>
        </w:r>
      </w:hyperlink>
    </w:p>
    <w:p w14:paraId="3199B89A" w14:textId="4A409F3B" w:rsidR="00FC408A" w:rsidRPr="00FC408A" w:rsidRDefault="00FC408A" w:rsidP="00FC408A">
      <w:pPr>
        <w:shd w:val="clear" w:color="auto" w:fill="FFFFFF"/>
        <w:spacing w:after="173"/>
        <w:ind w:left="450" w:hanging="450"/>
        <w:rPr>
          <w:rFonts w:eastAsia="Times New Roman" w:cs="Arial"/>
          <w:color w:val="000000"/>
          <w:sz w:val="21"/>
          <w:szCs w:val="21"/>
          <w:lang w:eastAsia="en-GB"/>
        </w:rPr>
      </w:pPr>
      <w:r w:rsidRPr="00FC408A">
        <w:rPr>
          <w:rFonts w:eastAsia="Times New Roman" w:cs="Arial"/>
          <w:color w:val="000000"/>
          <w:sz w:val="21"/>
          <w:szCs w:val="21"/>
          <w:lang w:eastAsia="en-GB"/>
        </w:rPr>
        <w:t xml:space="preserve">3. </w:t>
      </w:r>
      <w:r w:rsidRPr="00FC408A">
        <w:rPr>
          <w:rFonts w:eastAsia="Times New Roman" w:cs="Arial"/>
          <w:b/>
          <w:bCs/>
          <w:color w:val="000000"/>
          <w:sz w:val="21"/>
          <w:szCs w:val="21"/>
          <w:lang w:eastAsia="en-GB"/>
        </w:rPr>
        <w:t>Longitudinal Evaluation of Dysarthria Progression in Patients with Parkinson's Disease.</w:t>
      </w:r>
      <w:r w:rsidRPr="00FC408A">
        <w:rPr>
          <w:rFonts w:eastAsia="Times New Roman" w:cs="Arial"/>
          <w:b/>
          <w:bCs/>
          <w:color w:val="000000"/>
          <w:sz w:val="21"/>
          <w:szCs w:val="21"/>
          <w:lang w:eastAsia="en-GB"/>
        </w:rPr>
        <w:br/>
      </w:r>
      <w:r w:rsidRPr="00FC408A">
        <w:rPr>
          <w:rFonts w:eastAsia="Times New Roman" w:cs="Arial"/>
          <w:color w:val="000000"/>
          <w:sz w:val="21"/>
          <w:szCs w:val="21"/>
          <w:lang w:eastAsia="en-GB"/>
        </w:rPr>
        <w:br/>
      </w:r>
      <w:r w:rsidRPr="00FC408A">
        <w:rPr>
          <w:rFonts w:eastAsia="Times New Roman" w:cs="Arial"/>
          <w:b/>
          <w:bCs/>
          <w:color w:val="000000"/>
          <w:sz w:val="21"/>
          <w:szCs w:val="21"/>
          <w:lang w:eastAsia="en-GB"/>
        </w:rPr>
        <w:t>Authors:</w:t>
      </w:r>
      <w:r w:rsidRPr="00FC408A">
        <w:rPr>
          <w:rFonts w:eastAsia="Times New Roman" w:cs="Arial"/>
          <w:color w:val="000000"/>
          <w:sz w:val="21"/>
          <w:szCs w:val="21"/>
          <w:lang w:eastAsia="en-GB"/>
        </w:rPr>
        <w:t xml:space="preserve"> Vasquez-Barrientos, Wilmar Alesander;Escobar-Grisales, Daniel;Rios-Urrego, Cristian David and Orozco-Arroyave, Juan Rafael</w:t>
      </w:r>
      <w:r w:rsidRPr="00FC408A">
        <w:rPr>
          <w:rFonts w:eastAsia="Times New Roman" w:cs="Arial"/>
          <w:color w:val="000000"/>
          <w:sz w:val="21"/>
          <w:szCs w:val="21"/>
          <w:lang w:eastAsia="en-GB"/>
        </w:rPr>
        <w:br/>
      </w:r>
      <w:r w:rsidRPr="00FC408A">
        <w:rPr>
          <w:rFonts w:eastAsia="Times New Roman" w:cs="Arial"/>
          <w:color w:val="000000"/>
          <w:sz w:val="21"/>
          <w:szCs w:val="21"/>
          <w:lang w:eastAsia="en-GB"/>
        </w:rPr>
        <w:br/>
      </w:r>
      <w:r w:rsidRPr="00FC408A">
        <w:rPr>
          <w:rFonts w:eastAsia="Times New Roman" w:cs="Arial"/>
          <w:b/>
          <w:bCs/>
          <w:color w:val="000000"/>
          <w:sz w:val="21"/>
          <w:szCs w:val="21"/>
          <w:lang w:eastAsia="en-GB"/>
        </w:rPr>
        <w:t xml:space="preserve">Publication Date: </w:t>
      </w:r>
      <w:r w:rsidRPr="00FC408A">
        <w:rPr>
          <w:rFonts w:eastAsia="Times New Roman" w:cs="Arial"/>
          <w:color w:val="000000"/>
          <w:sz w:val="21"/>
          <w:szCs w:val="21"/>
          <w:lang w:eastAsia="en-GB"/>
        </w:rPr>
        <w:t>Feb 26 ,2026</w:t>
      </w:r>
      <w:r w:rsidRPr="00FC408A">
        <w:rPr>
          <w:rFonts w:eastAsia="Times New Roman" w:cs="Arial"/>
          <w:color w:val="000000"/>
          <w:sz w:val="21"/>
          <w:szCs w:val="21"/>
          <w:lang w:eastAsia="en-GB"/>
        </w:rPr>
        <w:br/>
      </w:r>
      <w:r w:rsidRPr="00FC408A">
        <w:rPr>
          <w:rFonts w:eastAsia="Times New Roman" w:cs="Arial"/>
          <w:color w:val="000000"/>
          <w:sz w:val="21"/>
          <w:szCs w:val="21"/>
          <w:lang w:eastAsia="en-GB"/>
        </w:rPr>
        <w:br/>
      </w:r>
      <w:r w:rsidRPr="00FC408A">
        <w:rPr>
          <w:rFonts w:eastAsia="Times New Roman" w:cs="Arial"/>
          <w:b/>
          <w:bCs/>
          <w:color w:val="000000"/>
          <w:sz w:val="21"/>
          <w:szCs w:val="21"/>
          <w:lang w:eastAsia="en-GB"/>
        </w:rPr>
        <w:t xml:space="preserve">Journal: </w:t>
      </w:r>
      <w:r w:rsidRPr="00FC408A">
        <w:rPr>
          <w:rFonts w:eastAsia="Times New Roman" w:cs="Arial"/>
          <w:color w:val="000000"/>
          <w:sz w:val="21"/>
          <w:szCs w:val="21"/>
          <w:lang w:eastAsia="en-GB"/>
        </w:rPr>
        <w:t>Diagnostics 16(5)</w:t>
      </w:r>
      <w:r w:rsidR="00C04C72">
        <w:rPr>
          <w:rFonts w:eastAsia="Times New Roman" w:cs="Arial"/>
          <w:color w:val="000000"/>
          <w:sz w:val="21"/>
          <w:szCs w:val="21"/>
          <w:lang w:eastAsia="en-GB"/>
        </w:rPr>
        <w:br/>
      </w:r>
      <w:r w:rsidRPr="00FC408A">
        <w:rPr>
          <w:rFonts w:eastAsia="Times New Roman" w:cs="Arial"/>
          <w:color w:val="000000"/>
          <w:sz w:val="21"/>
          <w:szCs w:val="21"/>
          <w:lang w:eastAsia="en-GB"/>
        </w:rPr>
        <w:br/>
      </w:r>
      <w:r w:rsidRPr="00FC408A">
        <w:rPr>
          <w:rFonts w:eastAsia="Times New Roman" w:cs="Arial"/>
          <w:b/>
          <w:bCs/>
          <w:color w:val="000000"/>
          <w:sz w:val="21"/>
          <w:szCs w:val="21"/>
          <w:lang w:eastAsia="en-GB"/>
        </w:rPr>
        <w:t>Abstract: Background/Objectives:</w:t>
      </w:r>
      <w:r w:rsidRPr="00FC408A">
        <w:rPr>
          <w:rFonts w:eastAsia="Times New Roman" w:cs="Arial"/>
          <w:color w:val="000000"/>
          <w:sz w:val="21"/>
          <w:szCs w:val="21"/>
          <w:lang w:eastAsia="en-GB"/>
        </w:rPr>
        <w:t xml:space="preserve"> Automatic evaluation of Parkinson's disease (PD) progression is an emerging topic that deserves special attention from the research community. Unobtrusive, low-cost technology is essential for monitoring PD patients in remote areas. This paper proposes the use of phonological posteriors to create models that allow the progression of dysarthria level progression to be modelled based on speech recordings.</w:t>
      </w:r>
      <w:r w:rsidR="00C04C72">
        <w:rPr>
          <w:rFonts w:eastAsia="Times New Roman" w:cs="Arial"/>
          <w:color w:val="000000"/>
          <w:sz w:val="21"/>
          <w:szCs w:val="21"/>
          <w:lang w:eastAsia="en-GB"/>
        </w:rPr>
        <w:t xml:space="preserve"> </w:t>
      </w:r>
      <w:r w:rsidRPr="00FC408A">
        <w:rPr>
          <w:rFonts w:eastAsia="Times New Roman" w:cs="Arial"/>
          <w:b/>
          <w:bCs/>
          <w:color w:val="000000"/>
          <w:sz w:val="21"/>
          <w:szCs w:val="21"/>
          <w:lang w:eastAsia="en-GB"/>
        </w:rPr>
        <w:t>Methods:</w:t>
      </w:r>
      <w:r w:rsidRPr="00FC408A">
        <w:rPr>
          <w:rFonts w:eastAsia="Times New Roman" w:cs="Arial"/>
          <w:color w:val="000000"/>
          <w:sz w:val="21"/>
          <w:szCs w:val="21"/>
          <w:lang w:eastAsia="en-GB"/>
        </w:rPr>
        <w:t xml:space="preserve"> Eighteen Gated Recurrent Units (GRUs) are used to estimate an equal number of phonological classes assigned to each phoneme pronounced in a given recording. Classification models of PD vs. healthy control (HC) subjects are trained with recordings of the PC-GITA corpus. This information is used in a separate corpus, with longitudinal recordings, to evaluate whether the progression of the dysarthria level, according to the modified Frenchay Dysarthria Assessment (mFDA), is related to abnormal production of specific phonemes.</w:t>
      </w:r>
      <w:r w:rsidR="00C04C72">
        <w:rPr>
          <w:rFonts w:eastAsia="Times New Roman" w:cs="Arial"/>
          <w:color w:val="000000"/>
          <w:sz w:val="21"/>
          <w:szCs w:val="21"/>
          <w:lang w:eastAsia="en-GB"/>
        </w:rPr>
        <w:t xml:space="preserve"> </w:t>
      </w:r>
      <w:r w:rsidRPr="00FC408A">
        <w:rPr>
          <w:rFonts w:eastAsia="Times New Roman" w:cs="Arial"/>
          <w:b/>
          <w:bCs/>
          <w:color w:val="000000"/>
          <w:sz w:val="21"/>
          <w:szCs w:val="21"/>
          <w:lang w:eastAsia="en-GB"/>
        </w:rPr>
        <w:t>Results:</w:t>
      </w:r>
      <w:r w:rsidRPr="00FC408A">
        <w:rPr>
          <w:rFonts w:eastAsia="Times New Roman" w:cs="Arial"/>
          <w:color w:val="000000"/>
          <w:sz w:val="21"/>
          <w:szCs w:val="21"/>
          <w:lang w:eastAsia="en-GB"/>
        </w:rPr>
        <w:t xml:space="preserve"> Strident, dental, pause, back, and continuant phonological classes are the ones that better explain dysarthria level progression within time-frames of at least two years, therefore allowing possible monitoring of disease progression.</w:t>
      </w:r>
      <w:r w:rsidR="00C04C72">
        <w:rPr>
          <w:rFonts w:eastAsia="Times New Roman" w:cs="Arial"/>
          <w:color w:val="000000"/>
          <w:sz w:val="21"/>
          <w:szCs w:val="21"/>
          <w:lang w:eastAsia="en-GB"/>
        </w:rPr>
        <w:t xml:space="preserve"> </w:t>
      </w:r>
      <w:r w:rsidRPr="00FC408A">
        <w:rPr>
          <w:rFonts w:eastAsia="Times New Roman" w:cs="Arial"/>
          <w:b/>
          <w:bCs/>
          <w:color w:val="000000"/>
          <w:sz w:val="21"/>
          <w:szCs w:val="21"/>
          <w:lang w:eastAsia="en-GB"/>
        </w:rPr>
        <w:t>Conclusions:</w:t>
      </w:r>
      <w:r w:rsidRPr="00FC408A">
        <w:rPr>
          <w:rFonts w:eastAsia="Times New Roman" w:cs="Arial"/>
          <w:color w:val="000000"/>
          <w:sz w:val="21"/>
          <w:szCs w:val="21"/>
          <w:lang w:eastAsia="en-GB"/>
        </w:rPr>
        <w:t xml:space="preserve"> Speech is a low-cost biosignal that can be used to automatically assess PD progression. In particular, this study shows that such an assessment makes it possible to evaluate dysarthria level progression and to find which phonological classes are contributing the most to such a progression. We believe that the findings reported in this paper provide objective evidence about possible abnormalities in broader speech-related processes like respiration, therefore contributing a better understanding of the relationship between speech production patterns and other speech-related processes affected when suffering from PD.</w:t>
      </w:r>
      <w:r w:rsidRPr="00FC408A">
        <w:rPr>
          <w:rFonts w:eastAsia="Times New Roman" w:cs="Arial"/>
          <w:color w:val="000000"/>
          <w:sz w:val="21"/>
          <w:szCs w:val="21"/>
          <w:lang w:eastAsia="en-GB"/>
        </w:rPr>
        <w:br/>
      </w:r>
      <w:r w:rsidRPr="00FC408A">
        <w:rPr>
          <w:rFonts w:eastAsia="Times New Roman" w:cs="Arial"/>
          <w:color w:val="000000"/>
          <w:sz w:val="21"/>
          <w:szCs w:val="21"/>
          <w:lang w:eastAsia="en-GB"/>
        </w:rPr>
        <w:br/>
      </w:r>
      <w:r w:rsidRPr="00FC408A">
        <w:rPr>
          <w:rFonts w:eastAsia="Times New Roman" w:cs="Arial"/>
          <w:b/>
          <w:bCs/>
          <w:color w:val="000000"/>
          <w:sz w:val="21"/>
          <w:szCs w:val="21"/>
          <w:lang w:eastAsia="en-GB"/>
        </w:rPr>
        <w:t xml:space="preserve">Access or request full text: </w:t>
      </w:r>
      <w:hyperlink r:id="rId35" w:tgtFrame="_blank" w:history="1">
        <w:r w:rsidRPr="00FC408A">
          <w:rPr>
            <w:rFonts w:eastAsia="Times New Roman" w:cs="Arial"/>
            <w:color w:val="0066CC"/>
            <w:sz w:val="21"/>
            <w:szCs w:val="21"/>
            <w:lang w:eastAsia="en-GB"/>
          </w:rPr>
          <w:t>https://libkey.io/10.3390/diagnostics16050683</w:t>
        </w:r>
      </w:hyperlink>
    </w:p>
    <w:p w14:paraId="7600B079" w14:textId="714BB8E5" w:rsidR="003E7AE2" w:rsidRDefault="00FC408A" w:rsidP="00FC408A">
      <w:r w:rsidRPr="00FC408A">
        <w:rPr>
          <w:rFonts w:eastAsia="Times New Roman" w:cs="Arial"/>
          <w:color w:val="000000"/>
          <w:sz w:val="21"/>
          <w:szCs w:val="21"/>
          <w:lang w:eastAsia="en-GB"/>
        </w:rPr>
        <w:br/>
      </w:r>
      <w:r w:rsidRPr="00FC408A">
        <w:rPr>
          <w:rFonts w:eastAsia="Times New Roman" w:cs="Arial"/>
          <w:i/>
          <w:iCs/>
          <w:color w:val="000000"/>
          <w:sz w:val="21"/>
          <w:szCs w:val="21"/>
          <w:shd w:val="clear" w:color="auto" w:fill="FFFFFF"/>
          <w:lang w:eastAsia="en-GB"/>
        </w:rPr>
        <w:t xml:space="preserve">You will need your </w:t>
      </w:r>
      <w:hyperlink r:id="rId36" w:history="1">
        <w:r w:rsidRPr="00FC408A">
          <w:rPr>
            <w:rFonts w:eastAsia="Times New Roman" w:cs="Arial"/>
            <w:i/>
            <w:iCs/>
            <w:color w:val="0066CC"/>
            <w:sz w:val="21"/>
            <w:szCs w:val="21"/>
            <w:lang w:eastAsia="en-GB"/>
          </w:rPr>
          <w:t>NHS OpenAthens account</w:t>
        </w:r>
      </w:hyperlink>
      <w:r w:rsidRPr="00FC408A">
        <w:rPr>
          <w:rFonts w:eastAsia="Times New Roman" w:cs="Arial"/>
          <w:i/>
          <w:iCs/>
          <w:color w:val="000000"/>
          <w:sz w:val="21"/>
          <w:szCs w:val="21"/>
          <w:shd w:val="clear" w:color="auto" w:fill="FFFFFF"/>
          <w:lang w:eastAsia="en-GB"/>
        </w:rPr>
        <w:t xml:space="preserve"> to access the full text of licenced content.</w:t>
      </w:r>
      <w:r w:rsidRPr="00FC408A">
        <w:rPr>
          <w:rFonts w:eastAsia="Times New Roman" w:cs="Arial"/>
          <w:color w:val="000000"/>
          <w:sz w:val="21"/>
          <w:szCs w:val="21"/>
          <w:lang w:eastAsia="en-GB"/>
        </w:rPr>
        <w:br/>
      </w:r>
      <w:r w:rsidRPr="00FC408A">
        <w:rPr>
          <w:rFonts w:eastAsia="Times New Roman" w:cs="Arial"/>
          <w:i/>
          <w:iCs/>
          <w:color w:val="000000"/>
          <w:sz w:val="21"/>
          <w:szCs w:val="21"/>
          <w:shd w:val="clear" w:color="auto" w:fill="FFFFFF"/>
          <w:lang w:eastAsia="en-GB"/>
        </w:rPr>
        <w:t>This service is provided to the NHS in England by NHSE Workforce, Training &amp; Education.</w:t>
      </w:r>
    </w:p>
    <w:p w14:paraId="137F075F" w14:textId="77777777" w:rsidR="003E7AE2" w:rsidRPr="003E7AE2" w:rsidRDefault="00F95BB2" w:rsidP="003E7AE2">
      <w:pPr>
        <w:pStyle w:val="Heading1"/>
      </w:pPr>
      <w:bookmarkStart w:id="2" w:name="_Toc242972421"/>
      <w:r>
        <w:t>Dysphag</w:t>
      </w:r>
      <w:r w:rsidR="003E7AE2">
        <w:t>ia</w:t>
      </w:r>
      <w:bookmarkEnd w:id="2"/>
    </w:p>
    <w:p w14:paraId="278C091E" w14:textId="78046DE6" w:rsidR="000355F8" w:rsidRPr="000355F8" w:rsidRDefault="000355F8" w:rsidP="000355F8">
      <w:pPr>
        <w:shd w:val="clear" w:color="auto" w:fill="FFFFFF"/>
        <w:spacing w:after="173"/>
        <w:ind w:left="450" w:hanging="450"/>
        <w:rPr>
          <w:rFonts w:eastAsia="Times New Roman" w:cs="Arial"/>
          <w:color w:val="000000"/>
          <w:sz w:val="21"/>
          <w:szCs w:val="21"/>
          <w:lang w:eastAsia="en-GB"/>
        </w:rPr>
      </w:pPr>
      <w:r w:rsidRPr="000355F8">
        <w:rPr>
          <w:rFonts w:eastAsia="Times New Roman" w:cs="Arial"/>
          <w:color w:val="000000"/>
          <w:sz w:val="21"/>
          <w:szCs w:val="21"/>
          <w:lang w:eastAsia="en-GB"/>
        </w:rPr>
        <w:t xml:space="preserve">1. </w:t>
      </w:r>
      <w:r w:rsidRPr="000355F8">
        <w:rPr>
          <w:rFonts w:eastAsia="Times New Roman" w:cs="Arial"/>
          <w:b/>
          <w:bCs/>
          <w:color w:val="000000"/>
          <w:sz w:val="21"/>
          <w:szCs w:val="21"/>
          <w:lang w:eastAsia="en-GB"/>
        </w:rPr>
        <w:t>Thin Liquid Sip Sizes in Outpatient Adults with Normal and Disordered Swallowing: Modifying Factors and Relationships with Swallowing Safety and Efficiency.</w:t>
      </w:r>
      <w:r w:rsidRPr="000355F8">
        <w:rPr>
          <w:rFonts w:eastAsia="Times New Roman" w:cs="Arial"/>
          <w:b/>
          <w:bCs/>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Authors:</w:t>
      </w:r>
      <w:r w:rsidRPr="000355F8">
        <w:rPr>
          <w:rFonts w:eastAsia="Times New Roman" w:cs="Arial"/>
          <w:color w:val="000000"/>
          <w:sz w:val="21"/>
          <w:szCs w:val="21"/>
          <w:lang w:eastAsia="en-GB"/>
        </w:rPr>
        <w:t xml:space="preserve"> Curtis, James A.;Jimenez, Leyla E.;Aberin-Angulo, Isabel M.;Clark, Christine M. and Mocchetti, Valentina</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Publication Date: </w:t>
      </w:r>
      <w:r w:rsidRPr="000355F8">
        <w:rPr>
          <w:rFonts w:eastAsia="Times New Roman" w:cs="Arial"/>
          <w:color w:val="000000"/>
          <w:sz w:val="21"/>
          <w:szCs w:val="21"/>
          <w:lang w:eastAsia="en-GB"/>
        </w:rPr>
        <w:t>May 28 ,2026</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Journal: </w:t>
      </w:r>
      <w:r w:rsidRPr="000355F8">
        <w:rPr>
          <w:rFonts w:eastAsia="Times New Roman" w:cs="Arial"/>
          <w:color w:val="000000"/>
          <w:sz w:val="21"/>
          <w:szCs w:val="21"/>
          <w:lang w:eastAsia="en-GB"/>
        </w:rPr>
        <w:t>Folia Phoniatrica Et Logopedica 1-15</w:t>
      </w:r>
      <w:r w:rsidR="004F0334">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lastRenderedPageBreak/>
        <w:t>Abstract: INTRODUCTION</w:t>
      </w:r>
      <w:r w:rsidRPr="000355F8">
        <w:rPr>
          <w:rFonts w:eastAsia="Times New Roman" w:cs="Arial"/>
          <w:color w:val="000000"/>
          <w:sz w:val="21"/>
          <w:szCs w:val="21"/>
          <w:lang w:eastAsia="en-GB"/>
        </w:rPr>
        <w:t xml:space="preserve">: Thin liquids are an important part of many swallowing assessment protocols, yet little is known about self-selected sip sizes in outpatient adults nor their relationship with functional swallowing outcomes. Therefore, this quality improvement study aimed to: (1) assess the influence of testing-specific factors on the size of self-selected sips in outpatient adults; (2) examine the relationships between self-selected sip sizes, patient characteristics, and degree of swallowing impairment; and (3) evaluate the relationship between the self-selected sip sizes, swallowing safety, and swallowing efficiency. </w:t>
      </w:r>
      <w:r w:rsidRPr="000355F8">
        <w:rPr>
          <w:rFonts w:eastAsia="Times New Roman" w:cs="Arial"/>
          <w:b/>
          <w:bCs/>
          <w:color w:val="000000"/>
          <w:sz w:val="21"/>
          <w:szCs w:val="21"/>
          <w:lang w:eastAsia="en-GB"/>
        </w:rPr>
        <w:t>METHODS</w:t>
      </w:r>
      <w:r w:rsidRPr="000355F8">
        <w:rPr>
          <w:rFonts w:eastAsia="Times New Roman" w:cs="Arial"/>
          <w:color w:val="000000"/>
          <w:sz w:val="21"/>
          <w:szCs w:val="21"/>
          <w:lang w:eastAsia="en-GB"/>
        </w:rPr>
        <w:t xml:space="preserve">: Consecutive outpatient adults being evaluated for known or suspected swallowing impairments completed randomized self-selected sips of thin liquids varying by cup size, fill level, liquid color, liquid type, bolus delivery method, swallowing instruction, and endoscope presence. Self-selected sip sizes were measured for each trial. Multilevel statistical models were used to assess the relationships between self-selected sip size, testing conditions, patient characteristics, and pharyngeal residue, penetration, and aspiration as seen during flexible endoscopic evaluation of swallowing (FEES) and modified barium swallow studies (MBS). </w:t>
      </w:r>
      <w:r w:rsidRPr="000355F8">
        <w:rPr>
          <w:rFonts w:eastAsia="Times New Roman" w:cs="Arial"/>
          <w:b/>
          <w:bCs/>
          <w:color w:val="000000"/>
          <w:sz w:val="21"/>
          <w:szCs w:val="21"/>
          <w:lang w:eastAsia="en-GB"/>
        </w:rPr>
        <w:t>RESULTS</w:t>
      </w:r>
      <w:r w:rsidRPr="000355F8">
        <w:rPr>
          <w:rFonts w:eastAsia="Times New Roman" w:cs="Arial"/>
          <w:color w:val="000000"/>
          <w:sz w:val="21"/>
          <w:szCs w:val="21"/>
          <w:lang w:eastAsia="en-GB"/>
        </w:rPr>
        <w:t xml:space="preserve">: Seventy-four outpatient adults were recruited, yielding an analysis of 595 self-selected sip sizes. The median self-selected sip size was 24.0 mL during the most natural drinking condition. Colored liquids, smaller amount of liquid filling a cup, and straw use significantly decreased sip size, whereas transnasal endoscopy and barium significantly increased sip size (p : Seventy-four outpatient adults were recruited, yielding an analysis of 595 self-selected sip sizes. The median self-selected sip size was 24.0 mL during the most natural drinking condition. Colored liquids, smaller amount of liquid filling a cup, and straw use significantly decreased sip size, whereas transnasal endoscopy and barium significantly increased sip size (p 0.05). </w:t>
      </w:r>
      <w:r w:rsidRPr="000355F8">
        <w:rPr>
          <w:rFonts w:eastAsia="Times New Roman" w:cs="Arial"/>
          <w:b/>
          <w:bCs/>
          <w:color w:val="000000"/>
          <w:sz w:val="21"/>
          <w:szCs w:val="21"/>
          <w:lang w:eastAsia="en-GB"/>
        </w:rPr>
        <w:t>CONCLUSION</w:t>
      </w:r>
      <w:r w:rsidRPr="000355F8">
        <w:rPr>
          <w:rFonts w:eastAsia="Times New Roman" w:cs="Arial"/>
          <w:color w:val="000000"/>
          <w:sz w:val="21"/>
          <w:szCs w:val="21"/>
          <w:lang w:eastAsia="en-GB"/>
        </w:rPr>
        <w:t>: Outpatient adults typically select thin liquid sips of ~24 mL under natural conditions, similar to what is reported in healthy community dwelling adults and far exceeding sip sizes frequently used during routine clinical assessments. Testing-induced alterations significantly alter natural sip size, suggesting that "natural" self-selected sips during clinical assessments, FEES, and MBS rarely reflect real-world drinking. Because sip size is not predictable from patient characteristics and is altered when being testing, clinicians should consider testing a range of fixed volumes to comprehensively assess swallowing function across patients.</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t>Copyright © 2026 The Author(s). Published by S. Karger AG, Basel.</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Access or request full text: </w:t>
      </w:r>
      <w:hyperlink r:id="rId37" w:tgtFrame="_blank" w:history="1">
        <w:r w:rsidRPr="000355F8">
          <w:rPr>
            <w:rFonts w:eastAsia="Times New Roman" w:cs="Arial"/>
            <w:color w:val="0066CC"/>
            <w:sz w:val="21"/>
            <w:szCs w:val="21"/>
            <w:lang w:eastAsia="en-GB"/>
          </w:rPr>
          <w:t>https://libkey.io/10.1159/000552746</w:t>
        </w:r>
      </w:hyperlink>
    </w:p>
    <w:p w14:paraId="424695CC" w14:textId="7D6A7481" w:rsidR="000355F8" w:rsidRPr="000355F8" w:rsidRDefault="000355F8" w:rsidP="000355F8">
      <w:pPr>
        <w:shd w:val="clear" w:color="auto" w:fill="FFFFFF"/>
        <w:spacing w:after="173"/>
        <w:ind w:left="450" w:hanging="450"/>
        <w:rPr>
          <w:rFonts w:eastAsia="Times New Roman" w:cs="Arial"/>
          <w:color w:val="000000"/>
          <w:sz w:val="21"/>
          <w:szCs w:val="21"/>
          <w:lang w:eastAsia="en-GB"/>
        </w:rPr>
      </w:pPr>
      <w:r w:rsidRPr="000355F8">
        <w:rPr>
          <w:rFonts w:eastAsia="Times New Roman" w:cs="Arial"/>
          <w:color w:val="000000"/>
          <w:sz w:val="21"/>
          <w:szCs w:val="21"/>
          <w:lang w:eastAsia="en-GB"/>
        </w:rPr>
        <w:t xml:space="preserve">2. </w:t>
      </w:r>
      <w:r w:rsidRPr="000355F8">
        <w:rPr>
          <w:rFonts w:eastAsia="Times New Roman" w:cs="Arial"/>
          <w:b/>
          <w:bCs/>
          <w:color w:val="000000"/>
          <w:sz w:val="21"/>
          <w:szCs w:val="21"/>
          <w:lang w:eastAsia="en-GB"/>
        </w:rPr>
        <w:t>Investigation of the Impact of Preoperative Swallowing Therapy on Swallowing Function in Partial Laryngectomy.</w:t>
      </w:r>
      <w:r w:rsidRPr="000355F8">
        <w:rPr>
          <w:rFonts w:eastAsia="Times New Roman" w:cs="Arial"/>
          <w:b/>
          <w:bCs/>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Authors:</w:t>
      </w:r>
      <w:r w:rsidRPr="000355F8">
        <w:rPr>
          <w:rFonts w:eastAsia="Times New Roman" w:cs="Arial"/>
          <w:color w:val="000000"/>
          <w:sz w:val="21"/>
          <w:szCs w:val="21"/>
          <w:lang w:eastAsia="en-GB"/>
        </w:rPr>
        <w:t xml:space="preserve"> Elikucuk, Cagla;Esen Aydinli, Fatma;Unsal Tuna, Elvan Evrim and Dumbak, Aydan</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Publication Date: </w:t>
      </w:r>
      <w:r w:rsidRPr="000355F8">
        <w:rPr>
          <w:rFonts w:eastAsia="Times New Roman" w:cs="Arial"/>
          <w:color w:val="000000"/>
          <w:sz w:val="21"/>
          <w:szCs w:val="21"/>
          <w:lang w:eastAsia="en-GB"/>
        </w:rPr>
        <w:t>2026</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Journal: </w:t>
      </w:r>
      <w:r w:rsidRPr="000355F8">
        <w:rPr>
          <w:rFonts w:eastAsia="Times New Roman" w:cs="Arial"/>
          <w:color w:val="000000"/>
          <w:sz w:val="21"/>
          <w:szCs w:val="21"/>
          <w:lang w:eastAsia="en-GB"/>
        </w:rPr>
        <w:t>Dysphagia</w:t>
      </w:r>
      <w:r w:rsidR="004F0334">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Abstract: </w:t>
      </w:r>
      <w:r w:rsidRPr="000355F8">
        <w:rPr>
          <w:rFonts w:eastAsia="Times New Roman" w:cs="Arial"/>
          <w:color w:val="000000"/>
          <w:sz w:val="21"/>
          <w:szCs w:val="21"/>
          <w:lang w:eastAsia="en-GB"/>
        </w:rPr>
        <w:t xml:space="preserve">Partial laryngectomy can substantially compromise swallowing safety and efficiency, leading to reduced swallowing-related quality of life in patients with head and neck cancer (HNC). Although postoperative swallowing therapy is effective in managing dysphagia, postoperative pain, fatigue, and anatomical alterations may limit early rehabilitation adherence. This study aimed to investigate whether structured preoperative swallowing therapy enhances postoperative swallowing recovery in patients undergoing partial laryngectomy. Thirty patients with HNC were included. The study group (n = 16) received both preoperative and postoperative swallowing therapy, while the control group (n = 14) received postoperative therapy alone. Preoperative therapy was delivered using an individualized, Fiberoptic Endoscopic Evaluation of Swallowing (FEES)-guided protocol specified according to the Rehabilitation Treatment Specification System (RTSS), targeting airway protection, swallowing efficiency, and preparation for postoperative rehabilitation. </w:t>
      </w:r>
      <w:r w:rsidRPr="000355F8">
        <w:rPr>
          <w:rFonts w:eastAsia="Times New Roman" w:cs="Arial"/>
          <w:color w:val="000000"/>
          <w:sz w:val="21"/>
          <w:szCs w:val="21"/>
          <w:lang w:eastAsia="en-GB"/>
        </w:rPr>
        <w:lastRenderedPageBreak/>
        <w:t>Postoperative swallowing therapy content, timing, and dosage were fully standardized between groups. Swallowing function was assessed preoperatively and at postoperative days 5-7, and at 1, 3, and 6 months using FEES. Penetration-aspiration severity was evaluated via the Penetration-Aspiration Scale (PAS) across all International Dysphagia Diet Standardisation Initiative (IDDSI) consistencies, and pharyngeal residue was assessed using the Yale Pharyngeal Residue Severity Rating Scale (YPRSRS). Functional oral intake and swallowing-related quality of life were assessed using the Functional Oral Intake Scale (FOIS), Eating Assessment Tool-10 (EAT-10), European Organization for Research and Treatment of Cancer Quality of Life Questionnaire-Core 30 (EORTC QLQ-C30), and European Organization for Research and Treatment of Cancer Quality of Life Questionnaire-Head and Neck 35 (EORTC QLQ-H&amp;N35). Both groups demonstrated significant postoperative improvements over time. However, patients receiving preoperative swallowing therapy achieved significantly higher FOIS levels at earlier postoperative time points (p = 0.018 to &lt; 0.001), showed greater reductions in penetration-aspiration severity (p = 0.001-0.031) and pharyngeal residue (p &lt; 0.001-0.050), and reached functional oral intake significantly earlier than controls (10.44 +/- 1.50 vs. 24.36 +/- 3.77 days, p &lt; 0.001). Nasogastric tube duration was also shorter in the study group (9.25 +/- 2.10 vs. 20.40 +/- 3.80 days, p &lt; 0.001). These improvements were also reflected in EORTC QLQ-C30 and QLQ-H&amp;N35 scores, with earlier recovery in functional domains and reduced symptom burden in the study group. In conclusion, structured preoperative swallowing therapy significantly accelerates postoperative swallowing recovery, improves airway protection, reduces postoperative enteral feeding dependence, and facilitates earlier return to oral intake following partial laryngectomy. These findings support the integration of structured preoperative swallowing therapy into routine perioperative dysphagia management for patients undergoing partial laryngectomy.</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t>Copyright © 2026. The Author(s).</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Access or request full text: </w:t>
      </w:r>
      <w:hyperlink r:id="rId38" w:tgtFrame="_blank" w:history="1">
        <w:r w:rsidRPr="000355F8">
          <w:rPr>
            <w:rFonts w:eastAsia="Times New Roman" w:cs="Arial"/>
            <w:color w:val="0066CC"/>
            <w:sz w:val="21"/>
            <w:szCs w:val="21"/>
            <w:lang w:eastAsia="en-GB"/>
          </w:rPr>
          <w:t>https://libkey.io/10.1007/s00455-026-10970-3</w:t>
        </w:r>
      </w:hyperlink>
    </w:p>
    <w:p w14:paraId="28ED7B0B" w14:textId="54D7FF50" w:rsidR="000355F8" w:rsidRPr="000355F8" w:rsidRDefault="000355F8" w:rsidP="000355F8">
      <w:pPr>
        <w:shd w:val="clear" w:color="auto" w:fill="FFFFFF"/>
        <w:spacing w:after="173"/>
        <w:ind w:left="450" w:hanging="450"/>
        <w:rPr>
          <w:rFonts w:eastAsia="Times New Roman" w:cs="Arial"/>
          <w:color w:val="000000"/>
          <w:sz w:val="21"/>
          <w:szCs w:val="21"/>
          <w:lang w:eastAsia="en-GB"/>
        </w:rPr>
      </w:pPr>
      <w:r w:rsidRPr="000355F8">
        <w:rPr>
          <w:rFonts w:eastAsia="Times New Roman" w:cs="Arial"/>
          <w:color w:val="000000"/>
          <w:sz w:val="21"/>
          <w:szCs w:val="21"/>
          <w:lang w:eastAsia="en-GB"/>
        </w:rPr>
        <w:t xml:space="preserve">3. </w:t>
      </w:r>
      <w:r w:rsidRPr="000355F8">
        <w:rPr>
          <w:rFonts w:eastAsia="Times New Roman" w:cs="Arial"/>
          <w:b/>
          <w:bCs/>
          <w:color w:val="000000"/>
          <w:sz w:val="21"/>
          <w:szCs w:val="21"/>
          <w:lang w:eastAsia="en-GB"/>
        </w:rPr>
        <w:t>Prevalence and clinical correlates of oropharyngeal dysphagia and malnutrition inhospitalized adult patients: A prospective observational Study.</w:t>
      </w:r>
      <w:r w:rsidRPr="000355F8">
        <w:rPr>
          <w:rFonts w:eastAsia="Times New Roman" w:cs="Arial"/>
          <w:b/>
          <w:bCs/>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Authors:</w:t>
      </w:r>
      <w:r w:rsidRPr="000355F8">
        <w:rPr>
          <w:rFonts w:eastAsia="Times New Roman" w:cs="Arial"/>
          <w:color w:val="000000"/>
          <w:sz w:val="21"/>
          <w:szCs w:val="21"/>
          <w:lang w:eastAsia="en-GB"/>
        </w:rPr>
        <w:t xml:space="preserve"> Eyigor, Sibel;Ozturk, Kerem;Karakoc, Omer Faruk and Bilici, Idil Aleyna</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Publication Date: </w:t>
      </w:r>
      <w:r w:rsidRPr="000355F8">
        <w:rPr>
          <w:rFonts w:eastAsia="Times New Roman" w:cs="Arial"/>
          <w:color w:val="000000"/>
          <w:sz w:val="21"/>
          <w:szCs w:val="21"/>
          <w:lang w:eastAsia="en-GB"/>
        </w:rPr>
        <w:t>Sep 08 ,2026</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Journal: </w:t>
      </w:r>
      <w:r w:rsidRPr="000355F8">
        <w:rPr>
          <w:rFonts w:eastAsia="Times New Roman" w:cs="Arial"/>
          <w:color w:val="000000"/>
          <w:sz w:val="21"/>
          <w:szCs w:val="21"/>
          <w:lang w:eastAsia="en-GB"/>
        </w:rPr>
        <w:t>Annals of Nutrition &amp; Metabolism 1</w:t>
      </w:r>
      <w:r w:rsidR="004F0334">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Abstract: INTRODUCTION</w:t>
      </w:r>
      <w:r w:rsidRPr="000355F8">
        <w:rPr>
          <w:rFonts w:eastAsia="Times New Roman" w:cs="Arial"/>
          <w:color w:val="000000"/>
          <w:sz w:val="21"/>
          <w:szCs w:val="21"/>
          <w:lang w:eastAsia="en-GB"/>
        </w:rPr>
        <w:t xml:space="preserve">: This study aimed to evaluate prevalence and clinical correlates of oropharyngeal dysphagia (OD) and malnutrition in hospitalized adult patients and to characterize 6-month outcomes among patients with OD at baseline. </w:t>
      </w:r>
      <w:r w:rsidRPr="000355F8">
        <w:rPr>
          <w:rFonts w:eastAsia="Times New Roman" w:cs="Arial"/>
          <w:b/>
          <w:bCs/>
          <w:color w:val="000000"/>
          <w:sz w:val="21"/>
          <w:szCs w:val="21"/>
          <w:lang w:eastAsia="en-GB"/>
        </w:rPr>
        <w:t>METHODS</w:t>
      </w:r>
      <w:r w:rsidRPr="000355F8">
        <w:rPr>
          <w:rFonts w:eastAsia="Times New Roman" w:cs="Arial"/>
          <w:color w:val="000000"/>
          <w:sz w:val="21"/>
          <w:szCs w:val="21"/>
          <w:lang w:eastAsia="en-GB"/>
        </w:rPr>
        <w:t xml:space="preserve">: A total of 1955 consecutive patients (mean+/-SD age: 56.8+/-16.23 years, 54.8% were males) hospitalized at a tertiary center were included. Data on Eating Assessment Tool (EAT-10), Mini Nutritional Assessment (MNA), functional oral intake scale (FOIS) and Holden functional ambulation classification scale (Holden FAC) were recorded. Patients diagnosed with dysphagia at baseline were re-evaluated at 6 months. </w:t>
      </w:r>
      <w:r w:rsidRPr="000355F8">
        <w:rPr>
          <w:rFonts w:eastAsia="Times New Roman" w:cs="Arial"/>
          <w:b/>
          <w:bCs/>
          <w:color w:val="000000"/>
          <w:sz w:val="21"/>
          <w:szCs w:val="21"/>
          <w:lang w:eastAsia="en-GB"/>
        </w:rPr>
        <w:t>RESULTS</w:t>
      </w:r>
      <w:r w:rsidRPr="000355F8">
        <w:rPr>
          <w:rFonts w:eastAsia="Times New Roman" w:cs="Arial"/>
          <w:color w:val="000000"/>
          <w:sz w:val="21"/>
          <w:szCs w:val="21"/>
          <w:lang w:eastAsia="en-GB"/>
        </w:rPr>
        <w:t xml:space="preserve">: </w:t>
      </w:r>
      <w:r w:rsidR="004F0334" w:rsidRPr="004F0334">
        <w:rPr>
          <w:rFonts w:eastAsia="Times New Roman" w:cs="Arial"/>
          <w:color w:val="000000"/>
          <w:sz w:val="21"/>
          <w:szCs w:val="21"/>
          <w:lang w:eastAsia="en-GB"/>
        </w:rPr>
        <w:t xml:space="preserve">Malnutrition and dysphagia were noted in 42.5% and 22.6% of patients, respectively. Dysphagia symptoms were highly prevalent (22.5% to 66.8%). Multivariate analysis revealed increase in EAT-10 scores with lower MNA scores (B, -0.206; 95% CI, -0.327 to -0.085; p=0.001), lower FOIS scores (B, -0.902; 95% CI, -1.349 to -0.455; p&lt;0.001) and non-solid diet type (B, -1.311; 95% CI, -2.169 to -0.454; p=0.003). In addition, decrease in MNA scores (likelihood of malnutrition) was predicted by higher EAT-10 scores (B, -0.073; 95% CI, -0.114 to -0.031; p=0.001), lower FOIS scores (B, 0.440; 95% CI, 0.191 to 0.688; p=0.001), lower Holden FAC scores (B, 0.753; 95% CI, 0.622 to 0.883; p&lt;0.001), non-solid diet (B, -1.178; 95% CI, -1.647 to -0.710; p&lt;0.001) and previous hospitalization (B, -0.744; 95% CI, -1.259 to -0.229; p=0.005). Of the 441 patients with OD at baseline, 137 (31.1%) died and 59 (13.4%) were lost to follow-up. Among the 245 patients reassessed at 6 months, OD persisted in 81 </w:t>
      </w:r>
      <w:r w:rsidR="004F0334" w:rsidRPr="004F0334">
        <w:rPr>
          <w:rFonts w:eastAsia="Times New Roman" w:cs="Arial"/>
          <w:color w:val="000000"/>
          <w:sz w:val="21"/>
          <w:szCs w:val="21"/>
          <w:lang w:eastAsia="en-GB"/>
        </w:rPr>
        <w:lastRenderedPageBreak/>
        <w:t>(33.1%) and resolved in 164 (66.9%). Persistent OD was associated with higher baseline EAT-10 scores and lower baseline MNA and FOIS scores.</w:t>
      </w:r>
      <w:r w:rsidR="004F0334">
        <w:rPr>
          <w:rFonts w:eastAsia="Times New Roman" w:cs="Arial"/>
          <w:color w:val="000000"/>
          <w:sz w:val="21"/>
          <w:szCs w:val="21"/>
          <w:lang w:eastAsia="en-GB"/>
        </w:rPr>
        <w:t xml:space="preserve"> </w:t>
      </w:r>
      <w:r w:rsidRPr="000355F8">
        <w:rPr>
          <w:rFonts w:eastAsia="Times New Roman" w:cs="Arial"/>
          <w:b/>
          <w:bCs/>
          <w:color w:val="000000"/>
          <w:sz w:val="21"/>
          <w:szCs w:val="21"/>
          <w:lang w:eastAsia="en-GB"/>
        </w:rPr>
        <w:t>CONCLUSION</w:t>
      </w:r>
      <w:r w:rsidRPr="000355F8">
        <w:rPr>
          <w:rFonts w:eastAsia="Times New Roman" w:cs="Arial"/>
          <w:color w:val="000000"/>
          <w:sz w:val="21"/>
          <w:szCs w:val="21"/>
          <w:lang w:eastAsia="en-GB"/>
        </w:rPr>
        <w:t>: In conclusion, our findings revealed higher prevalence of malnutrition alongside OD and highly prevalent dysphagia symptoms in hospitalized patients. Importantly, a considerable proportion of patients demonstrate persistent dysphagia at 6 months, highlighting the need for early identification and long-term follow-up. Presence of OD or malnutrition seems to significantly predict the risk of each other, while higher EAT and lower MNA scores were also associated with poor ambulatory status and decreased functional oral intake.</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t>Copyright © The Author(s) 2026. Published by S. Karger AG.</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Access or request full text: </w:t>
      </w:r>
      <w:hyperlink r:id="rId39" w:tgtFrame="_blank" w:history="1">
        <w:r w:rsidRPr="000355F8">
          <w:rPr>
            <w:rFonts w:eastAsia="Times New Roman" w:cs="Arial"/>
            <w:color w:val="0066CC"/>
            <w:sz w:val="21"/>
            <w:szCs w:val="21"/>
            <w:lang w:eastAsia="en-GB"/>
          </w:rPr>
          <w:t>https://libkey.io/10.1159/anm/abmag003</w:t>
        </w:r>
      </w:hyperlink>
    </w:p>
    <w:p w14:paraId="399616DC" w14:textId="3739B1BF" w:rsidR="000355F8" w:rsidRPr="000355F8" w:rsidRDefault="000355F8" w:rsidP="000355F8">
      <w:pPr>
        <w:shd w:val="clear" w:color="auto" w:fill="FFFFFF"/>
        <w:spacing w:after="173"/>
        <w:ind w:left="450" w:hanging="450"/>
        <w:rPr>
          <w:rFonts w:eastAsia="Times New Roman" w:cs="Arial"/>
          <w:color w:val="000000"/>
          <w:sz w:val="21"/>
          <w:szCs w:val="21"/>
          <w:lang w:eastAsia="en-GB"/>
        </w:rPr>
      </w:pPr>
      <w:r w:rsidRPr="000355F8">
        <w:rPr>
          <w:rFonts w:eastAsia="Times New Roman" w:cs="Arial"/>
          <w:color w:val="000000"/>
          <w:sz w:val="21"/>
          <w:szCs w:val="21"/>
          <w:lang w:eastAsia="en-GB"/>
        </w:rPr>
        <w:t xml:space="preserve">4. </w:t>
      </w:r>
      <w:r w:rsidRPr="000355F8">
        <w:rPr>
          <w:rFonts w:eastAsia="Times New Roman" w:cs="Arial"/>
          <w:b/>
          <w:bCs/>
          <w:color w:val="000000"/>
          <w:sz w:val="21"/>
          <w:szCs w:val="21"/>
          <w:lang w:eastAsia="en-GB"/>
        </w:rPr>
        <w:t>The Effect of Carbonated Liquid on Swallowing Safety of People with Parkinson Disease (DYSparkLE): A Prospective Within-Subject, Repeated-Measures Observational Study.</w:t>
      </w:r>
      <w:r w:rsidRPr="000355F8">
        <w:rPr>
          <w:rFonts w:eastAsia="Times New Roman" w:cs="Arial"/>
          <w:b/>
          <w:bCs/>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Authors:</w:t>
      </w:r>
      <w:r w:rsidRPr="000355F8">
        <w:rPr>
          <w:rFonts w:eastAsia="Times New Roman" w:cs="Arial"/>
          <w:color w:val="000000"/>
          <w:sz w:val="21"/>
          <w:szCs w:val="21"/>
          <w:lang w:eastAsia="en-GB"/>
        </w:rPr>
        <w:t xml:space="preserve"> Glinzer, J.;Koseki, J-C;Niessen, A.;Zang, J.;Nienstedt, J. C.;Buhmann, C. and Pflug, C.</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Publication Date: </w:t>
      </w:r>
      <w:r w:rsidRPr="000355F8">
        <w:rPr>
          <w:rFonts w:eastAsia="Times New Roman" w:cs="Arial"/>
          <w:color w:val="000000"/>
          <w:sz w:val="21"/>
          <w:szCs w:val="21"/>
          <w:lang w:eastAsia="en-GB"/>
        </w:rPr>
        <w:t>2026</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Journal: </w:t>
      </w:r>
      <w:r w:rsidRPr="000355F8">
        <w:rPr>
          <w:rFonts w:eastAsia="Times New Roman" w:cs="Arial"/>
          <w:color w:val="000000"/>
          <w:sz w:val="21"/>
          <w:szCs w:val="21"/>
          <w:lang w:eastAsia="en-GB"/>
        </w:rPr>
        <w:t>Dysphagia</w:t>
      </w:r>
      <w:r>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Abstract: </w:t>
      </w:r>
      <w:r w:rsidRPr="000355F8">
        <w:rPr>
          <w:rFonts w:eastAsia="Times New Roman" w:cs="Arial"/>
          <w:color w:val="000000"/>
          <w:sz w:val="21"/>
          <w:szCs w:val="21"/>
          <w:lang w:eastAsia="en-GB"/>
        </w:rPr>
        <w:t>Impaired swallowing safety with thin liquids is a concern in patients with Parkinson disease (PwPD). Sensory stimulation is frequently used in dysphagia rehabilitation. Previous studies suggest that carbonated liquid (CL) has beneficial effects on swallowing function. The objective of this study is to evaluate how drinking CL influences swallowing safety in PwPD. PwPD were consecutively recruited at our Parkinson day-clinic from July 2023 to July 2024. Patients with atypical or secondary Parkinsonism and other neurological or oncological diseases also causing dysphagia were excluded. Swallowing was assessed using flexible-endoscopic evaluation of swallowing (FEES). The assessment protocol included 5 and 90 mL of unflavored non-carbonated liquid (nCL) and CL. The primary outcome was the depth of airway invasion (DAI) with 90 mL. 83 PwPD (25 women) were included (age: 67.8+/-9.4 years; UPDRS III (Unified Parkinson's Disease Rating Scale, Part III): 34.9+/-14.3 points; disease duration: 7.9+/-5.9 years). Multilevel logistic regression showed that with CL, the odds of an airway invasion are significantly reduced compared to nCL. A second, exploratory subgroup analysis using binary logistic regression showed that the odds for PwPD to benefit from CL are higher for those reporting fewer dysphagia symptoms. It also indicated a potential effect of impaired laryngeal sensitivity, which was associated with decreased odds of improvement with CL. With CL, significantly fewer unsafe swallows were observed in PwPD. Incorporating CL in instrumental assessment protocols allows individualized assessment of its effects. Future research should look at mechanisms underlying the impact of CL in this patient group and explore the value of CL in addition to dysphagia rehabilitation strategies.</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t>Copyright © 2026. The Author(s).</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Access or request full text: </w:t>
      </w:r>
      <w:hyperlink r:id="rId40" w:tgtFrame="_blank" w:history="1">
        <w:r w:rsidRPr="000355F8">
          <w:rPr>
            <w:rFonts w:eastAsia="Times New Roman" w:cs="Arial"/>
            <w:color w:val="0066CC"/>
            <w:sz w:val="21"/>
            <w:szCs w:val="21"/>
            <w:lang w:eastAsia="en-GB"/>
          </w:rPr>
          <w:t>https://libkey.io/10.1007/s00455-026-11005-7</w:t>
        </w:r>
      </w:hyperlink>
    </w:p>
    <w:p w14:paraId="4DF7C2CC" w14:textId="7F889E9C" w:rsidR="000355F8" w:rsidRPr="000355F8" w:rsidRDefault="000355F8" w:rsidP="000355F8">
      <w:pPr>
        <w:shd w:val="clear" w:color="auto" w:fill="FFFFFF"/>
        <w:spacing w:after="173"/>
        <w:ind w:left="450" w:hanging="450"/>
        <w:rPr>
          <w:rFonts w:eastAsia="Times New Roman" w:cs="Arial"/>
          <w:color w:val="000000"/>
          <w:sz w:val="21"/>
          <w:szCs w:val="21"/>
          <w:lang w:eastAsia="en-GB"/>
        </w:rPr>
      </w:pPr>
      <w:r w:rsidRPr="000355F8">
        <w:rPr>
          <w:rFonts w:eastAsia="Times New Roman" w:cs="Arial"/>
          <w:color w:val="000000"/>
          <w:sz w:val="21"/>
          <w:szCs w:val="21"/>
          <w:lang w:eastAsia="en-GB"/>
        </w:rPr>
        <w:t xml:space="preserve">5. </w:t>
      </w:r>
      <w:r w:rsidRPr="000355F8">
        <w:rPr>
          <w:rFonts w:eastAsia="Times New Roman" w:cs="Arial"/>
          <w:b/>
          <w:bCs/>
          <w:color w:val="000000"/>
          <w:sz w:val="21"/>
          <w:szCs w:val="21"/>
          <w:lang w:eastAsia="en-GB"/>
        </w:rPr>
        <w:t>Cough reflex testing for dysphagia severity and pneumonia risk after acute stroke: a prospective observational study.</w:t>
      </w:r>
      <w:r w:rsidRPr="000355F8">
        <w:rPr>
          <w:rFonts w:eastAsia="Times New Roman" w:cs="Arial"/>
          <w:b/>
          <w:bCs/>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Authors:</w:t>
      </w:r>
      <w:r w:rsidRPr="000355F8">
        <w:rPr>
          <w:rFonts w:eastAsia="Times New Roman" w:cs="Arial"/>
          <w:color w:val="000000"/>
          <w:sz w:val="21"/>
          <w:szCs w:val="21"/>
          <w:lang w:eastAsia="en-GB"/>
        </w:rPr>
        <w:t xml:space="preserve"> Jung, Anne;Labeit, Bendix;Oelenberg, Stephan;Wueller, Christina;Ahring, Sigrid;Sauer, Sonja;Schulze Hillert, Lisa-Marie;Hartwig, Linda;Muhle, Paul;Pilatus, Anne;Warnecke, Tobias;Dziewas, Rainer and Suntrup-Krueger, Sonja</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Publication Date: </w:t>
      </w:r>
      <w:r w:rsidRPr="000355F8">
        <w:rPr>
          <w:rFonts w:eastAsia="Times New Roman" w:cs="Arial"/>
          <w:color w:val="000000"/>
          <w:sz w:val="21"/>
          <w:szCs w:val="21"/>
          <w:lang w:eastAsia="en-GB"/>
        </w:rPr>
        <w:t>2026</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lastRenderedPageBreak/>
        <w:br/>
      </w:r>
      <w:r w:rsidRPr="000355F8">
        <w:rPr>
          <w:rFonts w:eastAsia="Times New Roman" w:cs="Arial"/>
          <w:b/>
          <w:bCs/>
          <w:color w:val="000000"/>
          <w:sz w:val="21"/>
          <w:szCs w:val="21"/>
          <w:lang w:eastAsia="en-GB"/>
        </w:rPr>
        <w:t xml:space="preserve">Journal: </w:t>
      </w:r>
      <w:r w:rsidRPr="000355F8">
        <w:rPr>
          <w:rFonts w:eastAsia="Times New Roman" w:cs="Arial"/>
          <w:color w:val="000000"/>
          <w:sz w:val="21"/>
          <w:szCs w:val="21"/>
          <w:lang w:eastAsia="en-GB"/>
        </w:rPr>
        <w:t>Stroke &amp; Vascular Neurology</w:t>
      </w:r>
      <w:r>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Abstract: INTRODUCTION</w:t>
      </w:r>
      <w:r w:rsidRPr="000355F8">
        <w:rPr>
          <w:rFonts w:eastAsia="Times New Roman" w:cs="Arial"/>
          <w:color w:val="000000"/>
          <w:sz w:val="21"/>
          <w:szCs w:val="21"/>
          <w:lang w:eastAsia="en-GB"/>
        </w:rPr>
        <w:t xml:space="preserve">: Poststroke dysphagia and impaired cough reflex contribute to aspiration and pneumonia, yet the clinical value of cough reflex testing remains unclear. </w:t>
      </w:r>
      <w:r w:rsidRPr="000355F8">
        <w:rPr>
          <w:rFonts w:eastAsia="Times New Roman" w:cs="Arial"/>
          <w:b/>
          <w:bCs/>
          <w:color w:val="000000"/>
          <w:sz w:val="21"/>
          <w:szCs w:val="21"/>
          <w:lang w:eastAsia="en-GB"/>
        </w:rPr>
        <w:t>PATIENTS AND METHODS</w:t>
      </w:r>
      <w:r w:rsidRPr="000355F8">
        <w:rPr>
          <w:rFonts w:eastAsia="Times New Roman" w:cs="Arial"/>
          <w:color w:val="000000"/>
          <w:sz w:val="21"/>
          <w:szCs w:val="21"/>
          <w:lang w:eastAsia="en-GB"/>
        </w:rPr>
        <w:t xml:space="preserve">: In this prospective observational study, 395 patients who had an acute stroke admitted to an intensive care unit underwent fiberoptic endoscopic evaluation of swallowing and citric acid cough reflex testing at 0.4 mol/L. Dysphagia severity was rated using the Fiberoptic Endoscopic Dysphagia Severity Scale, with additional measures of secretion management, airway invasion and oral intake. Accuracy of cough reflex testing was calculated against fiberoptic endoscopic evaluation of swallowing. Ordinal and binary logistic regression assessed associations between cough reflex, dysphagia severity, pneumonia and mortality, including interactions. </w:t>
      </w:r>
      <w:r w:rsidRPr="000355F8">
        <w:rPr>
          <w:rFonts w:eastAsia="Times New Roman" w:cs="Arial"/>
          <w:b/>
          <w:bCs/>
          <w:color w:val="000000"/>
          <w:sz w:val="21"/>
          <w:szCs w:val="21"/>
          <w:lang w:eastAsia="en-GB"/>
        </w:rPr>
        <w:t>RESULTS</w:t>
      </w:r>
      <w:r w:rsidRPr="000355F8">
        <w:rPr>
          <w:rFonts w:eastAsia="Times New Roman" w:cs="Arial"/>
          <w:color w:val="000000"/>
          <w:sz w:val="21"/>
          <w:szCs w:val="21"/>
          <w:lang w:eastAsia="en-GB"/>
        </w:rPr>
        <w:t>:</w:t>
      </w:r>
      <w:r>
        <w:rPr>
          <w:rFonts w:eastAsia="Times New Roman" w:cs="Arial"/>
          <w:color w:val="000000"/>
          <w:sz w:val="21"/>
          <w:szCs w:val="21"/>
          <w:lang w:eastAsia="en-GB"/>
        </w:rPr>
        <w:t xml:space="preserve"> </w:t>
      </w:r>
      <w:r w:rsidRPr="000355F8">
        <w:rPr>
          <w:rFonts w:eastAsia="Times New Roman" w:cs="Arial"/>
          <w:color w:val="000000"/>
          <w:sz w:val="21"/>
          <w:szCs w:val="21"/>
          <w:lang w:eastAsia="en-GB"/>
        </w:rPr>
        <w:t xml:space="preserve">Cough reflex testing showed 75% sensitivity and 55% specificity for silent aspiration and 78% sensitivity and 43% specificity for any aspiration. Absent or weakened cough reflex predicted severe dysphagia, impaired secretion management, increased aspiration risk, restricted oral intake and reduced spontaneous swallowing (p&lt;0.001). Older age, stroke severity, impaired cough reflex and dysphagia severity predicted mortality. Preserved cough reduced pneumonia risk only in mild dysphagia. </w:t>
      </w:r>
      <w:r w:rsidRPr="000355F8">
        <w:rPr>
          <w:rFonts w:eastAsia="Times New Roman" w:cs="Arial"/>
          <w:b/>
          <w:bCs/>
          <w:color w:val="000000"/>
          <w:sz w:val="21"/>
          <w:szCs w:val="21"/>
          <w:lang w:eastAsia="en-GB"/>
        </w:rPr>
        <w:t>DISCUSSION</w:t>
      </w:r>
      <w:r w:rsidRPr="000355F8">
        <w:rPr>
          <w:rFonts w:eastAsia="Times New Roman" w:cs="Arial"/>
          <w:color w:val="000000"/>
          <w:sz w:val="21"/>
          <w:szCs w:val="21"/>
          <w:lang w:eastAsia="en-GB"/>
        </w:rPr>
        <w:t xml:space="preserve">: Impaired cough reflex independently predicted poststroke dysphagia severity, impaired secretion management, aspiration risk, restricted oral intake and poorer functional outcome. Preserved cough conferred protection against pneumonia only in mild dysphagia, whereas in moderate to severe dysphagia aspiration burden and systemic vulnerability likely predominate, limiting clinical relevance of cough testing. </w:t>
      </w:r>
      <w:r w:rsidRPr="000355F8">
        <w:rPr>
          <w:rFonts w:eastAsia="Times New Roman" w:cs="Arial"/>
          <w:b/>
          <w:bCs/>
          <w:color w:val="000000"/>
          <w:sz w:val="21"/>
          <w:szCs w:val="21"/>
          <w:lang w:eastAsia="en-GB"/>
        </w:rPr>
        <w:t>CONCLUSION</w:t>
      </w:r>
      <w:r w:rsidRPr="000355F8">
        <w:rPr>
          <w:rFonts w:eastAsia="Times New Roman" w:cs="Arial"/>
          <w:color w:val="000000"/>
          <w:sz w:val="21"/>
          <w:szCs w:val="21"/>
          <w:lang w:eastAsia="en-GB"/>
        </w:rPr>
        <w:t>: Cough reflex testing provides meaningful information on poststroke dysphagia severity and airway protection and may support risk stratification when instrumental swallowing assessment is unavailable.</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t>Copyright © Author(s) (or their employer(s)) 2026. Re-use permitted under CC BY. Published by BMJ Group.</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Access or request full text: </w:t>
      </w:r>
      <w:hyperlink r:id="rId41" w:tgtFrame="_blank" w:history="1">
        <w:r w:rsidRPr="000355F8">
          <w:rPr>
            <w:rFonts w:eastAsia="Times New Roman" w:cs="Arial"/>
            <w:color w:val="0066CC"/>
            <w:sz w:val="21"/>
            <w:szCs w:val="21"/>
            <w:lang w:eastAsia="en-GB"/>
          </w:rPr>
          <w:t>https://libkey.io/10.1136/svn-2026-005197</w:t>
        </w:r>
      </w:hyperlink>
    </w:p>
    <w:p w14:paraId="34F8F3E3" w14:textId="77777777" w:rsidR="000355F8" w:rsidRPr="000355F8" w:rsidRDefault="000355F8" w:rsidP="000355F8">
      <w:pPr>
        <w:shd w:val="clear" w:color="auto" w:fill="FFFFFF"/>
        <w:spacing w:after="173"/>
        <w:ind w:left="450" w:hanging="450"/>
        <w:rPr>
          <w:rFonts w:eastAsia="Times New Roman" w:cs="Arial"/>
          <w:color w:val="000000"/>
          <w:sz w:val="21"/>
          <w:szCs w:val="21"/>
          <w:lang w:eastAsia="en-GB"/>
        </w:rPr>
      </w:pPr>
      <w:r w:rsidRPr="000355F8">
        <w:rPr>
          <w:rFonts w:eastAsia="Times New Roman" w:cs="Arial"/>
          <w:color w:val="000000"/>
          <w:sz w:val="21"/>
          <w:szCs w:val="21"/>
          <w:lang w:eastAsia="en-GB"/>
        </w:rPr>
        <w:t xml:space="preserve">6. </w:t>
      </w:r>
      <w:r w:rsidRPr="000355F8">
        <w:rPr>
          <w:rFonts w:eastAsia="Times New Roman" w:cs="Arial"/>
          <w:b/>
          <w:bCs/>
          <w:color w:val="000000"/>
          <w:sz w:val="21"/>
          <w:szCs w:val="21"/>
          <w:lang w:eastAsia="en-GB"/>
        </w:rPr>
        <w:t>Measurement properties of instruments for post-extubation dysphagia in critically ill patients: A systematic review</w:t>
      </w:r>
      <w:r w:rsidRPr="000355F8">
        <w:rPr>
          <w:rFonts w:eastAsia="Times New Roman" w:cs="Arial"/>
          <w:b/>
          <w:bCs/>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Authors:</w:t>
      </w:r>
      <w:r w:rsidRPr="000355F8">
        <w:rPr>
          <w:rFonts w:eastAsia="Times New Roman" w:cs="Arial"/>
          <w:color w:val="000000"/>
          <w:sz w:val="21"/>
          <w:szCs w:val="21"/>
          <w:lang w:eastAsia="en-GB"/>
        </w:rPr>
        <w:t xml:space="preserve"> Koppelkamm, Lilly;Eicher, Martin;Nydahl, Peter;Kruse, Jan Matthias and Kottner, Jan</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Publication Date: </w:t>
      </w:r>
      <w:r w:rsidRPr="000355F8">
        <w:rPr>
          <w:rFonts w:eastAsia="Times New Roman" w:cs="Arial"/>
          <w:color w:val="000000"/>
          <w:sz w:val="21"/>
          <w:szCs w:val="21"/>
          <w:lang w:eastAsia="en-GB"/>
        </w:rPr>
        <w:t>Oct 08 ,2026</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Journal: </w:t>
      </w:r>
      <w:r w:rsidRPr="000355F8">
        <w:rPr>
          <w:rFonts w:eastAsia="Times New Roman" w:cs="Arial"/>
          <w:color w:val="000000"/>
          <w:sz w:val="21"/>
          <w:szCs w:val="21"/>
          <w:lang w:eastAsia="en-GB"/>
        </w:rPr>
        <w:t>Intensive &amp; Critical Care Nursing 98, pp. 104591</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Abstract: OBJECTIVES</w:t>
      </w:r>
      <w:r w:rsidRPr="000355F8">
        <w:rPr>
          <w:rFonts w:eastAsia="Times New Roman" w:cs="Arial"/>
          <w:color w:val="000000"/>
          <w:sz w:val="21"/>
          <w:szCs w:val="21"/>
          <w:lang w:eastAsia="en-GB"/>
        </w:rPr>
        <w:t xml:space="preserve">: Post-extubation dysphagia (PED) is a common but often under-recognised complication in critically ill patients following invasive mechanical ventilation. Systematic assessment of PED in routine ICU practice is not common. This systematic review aimed to identify clinical instruments used to assess PED in critically ill adult patients and to evaluate their measurement properties. </w:t>
      </w:r>
      <w:r w:rsidRPr="000355F8">
        <w:rPr>
          <w:rFonts w:eastAsia="Times New Roman" w:cs="Arial"/>
          <w:b/>
          <w:bCs/>
          <w:color w:val="000000"/>
          <w:sz w:val="21"/>
          <w:szCs w:val="21"/>
          <w:lang w:eastAsia="en-GB"/>
        </w:rPr>
        <w:t>METHODS</w:t>
      </w:r>
      <w:r w:rsidRPr="000355F8">
        <w:rPr>
          <w:rFonts w:eastAsia="Times New Roman" w:cs="Arial"/>
          <w:color w:val="000000"/>
          <w:sz w:val="21"/>
          <w:szCs w:val="21"/>
          <w:lang w:eastAsia="en-GB"/>
        </w:rPr>
        <w:t xml:space="preserve">: This review was conducted in accordance with the COSMIN methodology for systematic reviews of measurement instruments. A comprehensive evidence search was performed in multiple databases and other sources. Studies were included if they developed or applied standardised assessment instruments for the identification of PED in critically ill adults (&gt;=18 years). </w:t>
      </w:r>
      <w:r w:rsidRPr="000355F8">
        <w:rPr>
          <w:rFonts w:eastAsia="Times New Roman" w:cs="Arial"/>
          <w:b/>
          <w:bCs/>
          <w:color w:val="000000"/>
          <w:sz w:val="21"/>
          <w:szCs w:val="21"/>
          <w:lang w:eastAsia="en-GB"/>
        </w:rPr>
        <w:t>RESULTS</w:t>
      </w:r>
      <w:r w:rsidRPr="000355F8">
        <w:rPr>
          <w:rFonts w:eastAsia="Times New Roman" w:cs="Arial"/>
          <w:color w:val="000000"/>
          <w:sz w:val="21"/>
          <w:szCs w:val="21"/>
          <w:lang w:eastAsia="en-GB"/>
        </w:rPr>
        <w:t xml:space="preserve">: Of 2769 abstracts reviewed, 22 studies met criteria for inclusion. Sixteen different instruments for the assessment of PED were identified. These were categorised into water swallow tests, multi-consistency tests, and assessments without a swallowing evaluation. For nine instruments, measurement properties were reported, focusing on content validity, criterion validity and reliability, and demonstrated mostly good measurement properties. The Post-Extubation Dysphagia Screening Tool was the only evaluated across all three properties and showed sufficient measurement properties. The overall quality of evidence was mostly </w:t>
      </w:r>
      <w:r w:rsidRPr="000355F8">
        <w:rPr>
          <w:rFonts w:eastAsia="Times New Roman" w:cs="Arial"/>
          <w:color w:val="000000"/>
          <w:sz w:val="21"/>
          <w:szCs w:val="21"/>
          <w:lang w:eastAsia="en-GB"/>
        </w:rPr>
        <w:lastRenderedPageBreak/>
        <w:t xml:space="preserve">low to very low. </w:t>
      </w:r>
      <w:r w:rsidRPr="000355F8">
        <w:rPr>
          <w:rFonts w:eastAsia="Times New Roman" w:cs="Arial"/>
          <w:b/>
          <w:bCs/>
          <w:color w:val="000000"/>
          <w:sz w:val="21"/>
          <w:szCs w:val="21"/>
          <w:lang w:eastAsia="en-GB"/>
        </w:rPr>
        <w:t>CONCLUSIONS</w:t>
      </w:r>
      <w:r w:rsidRPr="000355F8">
        <w:rPr>
          <w:rFonts w:eastAsia="Times New Roman" w:cs="Arial"/>
          <w:color w:val="000000"/>
          <w:sz w:val="21"/>
          <w:szCs w:val="21"/>
          <w:lang w:eastAsia="en-GB"/>
        </w:rPr>
        <w:t xml:space="preserve">: There are various clinical assessment instruments for PED in critically ill adults. Most instruments showed good criterion validity, indicating their potential for clinical use. However, other measurement properties are largely unknown, and the quality of evidence is generally low. Thus, it is currently unclear which tool is best suited for assessing PED. Further research investigating validity and reliability is needed to identify instruments suitable for routine ICU use. </w:t>
      </w:r>
      <w:r w:rsidRPr="000355F8">
        <w:rPr>
          <w:rFonts w:eastAsia="Times New Roman" w:cs="Arial"/>
          <w:b/>
          <w:bCs/>
          <w:color w:val="000000"/>
          <w:sz w:val="21"/>
          <w:szCs w:val="21"/>
          <w:lang w:eastAsia="en-GB"/>
        </w:rPr>
        <w:t>IMPLICATIONS FOR CLINICAL PRACTICE</w:t>
      </w:r>
      <w:r w:rsidRPr="000355F8">
        <w:rPr>
          <w:rFonts w:eastAsia="Times New Roman" w:cs="Arial"/>
          <w:color w:val="000000"/>
          <w:sz w:val="21"/>
          <w:szCs w:val="21"/>
          <w:lang w:eastAsia="en-GB"/>
        </w:rPr>
        <w:t>: Systematic detection of PED is important. Assessment instruments with good diagnostic performance should be used to improve ICU care.</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t>Copyright © 2026 The Authors. Published by Elsevier Ltd.. All rights reserved.</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Access or request full text: </w:t>
      </w:r>
      <w:hyperlink r:id="rId42" w:tgtFrame="_blank" w:history="1">
        <w:r w:rsidRPr="000355F8">
          <w:rPr>
            <w:rFonts w:eastAsia="Times New Roman" w:cs="Arial"/>
            <w:color w:val="0066CC"/>
            <w:sz w:val="21"/>
            <w:szCs w:val="21"/>
            <w:lang w:eastAsia="en-GB"/>
          </w:rPr>
          <w:t>https://libkey.io/10.1016/j.iccn.2026.104591</w:t>
        </w:r>
      </w:hyperlink>
    </w:p>
    <w:p w14:paraId="4DB114E5" w14:textId="027A3D9F" w:rsidR="000355F8" w:rsidRPr="000355F8" w:rsidRDefault="000355F8" w:rsidP="000355F8">
      <w:pPr>
        <w:shd w:val="clear" w:color="auto" w:fill="FFFFFF"/>
        <w:spacing w:after="173"/>
        <w:ind w:left="450" w:hanging="450"/>
        <w:rPr>
          <w:rFonts w:eastAsia="Times New Roman" w:cs="Arial"/>
          <w:color w:val="000000"/>
          <w:sz w:val="21"/>
          <w:szCs w:val="21"/>
          <w:lang w:eastAsia="en-GB"/>
        </w:rPr>
      </w:pPr>
      <w:r w:rsidRPr="000355F8">
        <w:rPr>
          <w:rFonts w:eastAsia="Times New Roman" w:cs="Arial"/>
          <w:color w:val="000000"/>
          <w:sz w:val="21"/>
          <w:szCs w:val="21"/>
          <w:lang w:eastAsia="en-GB"/>
        </w:rPr>
        <w:t xml:space="preserve">7. </w:t>
      </w:r>
      <w:r w:rsidRPr="000355F8">
        <w:rPr>
          <w:rFonts w:eastAsia="Times New Roman" w:cs="Arial"/>
          <w:b/>
          <w:bCs/>
          <w:color w:val="000000"/>
          <w:sz w:val="21"/>
          <w:szCs w:val="21"/>
          <w:lang w:eastAsia="en-GB"/>
        </w:rPr>
        <w:t>Individualized Oral Health Care for Dysphagic, Care-Dependent Patients With Acquired Brain Injury: An Exploratory Predefined Subgroup Analysis of a Cluster Nonrandomized Controlled Trial.</w:t>
      </w:r>
      <w:r w:rsidRPr="000355F8">
        <w:rPr>
          <w:rFonts w:eastAsia="Times New Roman" w:cs="Arial"/>
          <w:b/>
          <w:bCs/>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Authors:</w:t>
      </w:r>
      <w:r w:rsidRPr="000355F8">
        <w:rPr>
          <w:rFonts w:eastAsia="Times New Roman" w:cs="Arial"/>
          <w:color w:val="000000"/>
          <w:sz w:val="21"/>
          <w:szCs w:val="21"/>
          <w:lang w:eastAsia="en-GB"/>
        </w:rPr>
        <w:t xml:space="preserve"> Kothari, Mohit</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Publication Date: </w:t>
      </w:r>
      <w:r w:rsidRPr="000355F8">
        <w:rPr>
          <w:rFonts w:eastAsia="Times New Roman" w:cs="Arial"/>
          <w:color w:val="000000"/>
          <w:sz w:val="21"/>
          <w:szCs w:val="21"/>
          <w:lang w:eastAsia="en-GB"/>
        </w:rPr>
        <w:t>2026</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Journal: </w:t>
      </w:r>
      <w:r w:rsidRPr="000355F8">
        <w:rPr>
          <w:rFonts w:eastAsia="Times New Roman" w:cs="Arial"/>
          <w:color w:val="000000"/>
          <w:sz w:val="21"/>
          <w:szCs w:val="21"/>
          <w:lang w:eastAsia="en-GB"/>
        </w:rPr>
        <w:t>Journal of Oral Rehabilitation</w:t>
      </w:r>
      <w:r>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Abstract: BACKGROUND</w:t>
      </w:r>
      <w:r w:rsidRPr="000355F8">
        <w:rPr>
          <w:rFonts w:eastAsia="Times New Roman" w:cs="Arial"/>
          <w:color w:val="000000"/>
          <w:sz w:val="21"/>
          <w:szCs w:val="21"/>
          <w:lang w:eastAsia="en-GB"/>
        </w:rPr>
        <w:t xml:space="preserve">: Individuals with dysphagia exhibit impaired oral clearance and reduced airway protection, increasing oral biofilm accumulation and inflammatory burden. </w:t>
      </w:r>
      <w:r w:rsidRPr="000355F8">
        <w:rPr>
          <w:rFonts w:eastAsia="Times New Roman" w:cs="Arial"/>
          <w:b/>
          <w:bCs/>
          <w:color w:val="000000"/>
          <w:sz w:val="21"/>
          <w:szCs w:val="21"/>
          <w:lang w:eastAsia="en-GB"/>
        </w:rPr>
        <w:t>OBJECTIVE</w:t>
      </w:r>
      <w:r w:rsidRPr="000355F8">
        <w:rPr>
          <w:rFonts w:eastAsia="Times New Roman" w:cs="Arial"/>
          <w:color w:val="000000"/>
          <w:sz w:val="21"/>
          <w:szCs w:val="21"/>
          <w:lang w:eastAsia="en-GB"/>
        </w:rPr>
        <w:t xml:space="preserve">: To evaluate whether a structured, individualized oral care approach (MOHIT) was associated with changes in oral inflammatory and biofilm-related markers in dysphagic, care-dependent individuals with acquired brain injury (ABI) during inpatient neurorehabilitation. </w:t>
      </w:r>
      <w:r w:rsidRPr="000355F8">
        <w:rPr>
          <w:rFonts w:eastAsia="Times New Roman" w:cs="Arial"/>
          <w:b/>
          <w:bCs/>
          <w:color w:val="000000"/>
          <w:sz w:val="21"/>
          <w:szCs w:val="21"/>
          <w:lang w:eastAsia="en-GB"/>
        </w:rPr>
        <w:t>METHODS</w:t>
      </w:r>
      <w:r w:rsidRPr="000355F8">
        <w:rPr>
          <w:rFonts w:eastAsia="Times New Roman" w:cs="Arial"/>
          <w:color w:val="000000"/>
          <w:sz w:val="21"/>
          <w:szCs w:val="21"/>
          <w:lang w:eastAsia="en-GB"/>
        </w:rPr>
        <w:t xml:space="preserve">: Adults with ABI, who screened positive for dysphagia at week 1 (n = 44) were followed for 3 weeks in an exploratory predefined subgroup analysis of a cluster nonrandomized controlled trial. Three wards implemented a structured, individualized oral care protocol (MOHIT: n = 12), consisting of structured oral assessment and individualized nurse-delivered oral care including suction-assisted electric toothbrushing, while three wards continued standard oral care (EOCP: n = 32). Outcomes included behavioural indicators (brushing frequency and toothbrush type), modified Bedside Oral Examination (mBOE), and clinical parameters (plaque, bleeding on probing, tongue coating, and odour) assessed at baseline and week 4. Direction-of-change indicators were compared using the Mann-Whitney U test. </w:t>
      </w:r>
      <w:r w:rsidRPr="000355F8">
        <w:rPr>
          <w:rFonts w:eastAsia="Times New Roman" w:cs="Arial"/>
          <w:b/>
          <w:bCs/>
          <w:color w:val="000000"/>
          <w:sz w:val="21"/>
          <w:szCs w:val="21"/>
          <w:lang w:eastAsia="en-GB"/>
        </w:rPr>
        <w:t>RESULTS</w:t>
      </w:r>
      <w:r w:rsidRPr="000355F8">
        <w:rPr>
          <w:rFonts w:eastAsia="Times New Roman" w:cs="Arial"/>
          <w:color w:val="000000"/>
          <w:sz w:val="21"/>
          <w:szCs w:val="21"/>
          <w:lang w:eastAsia="en-GB"/>
        </w:rPr>
        <w:t xml:space="preserve">: Toothbrushing frequency did not differ between groups (p = 0.347). The MOHIT group showed more favourable exploratory changes in overall mBOE score (3.1 +/- 2.2 vs. 0.8 +/- 2.8; p = 0.007), bleeding on probing (22.7 +/- 22.3 vs. -4.0 +/- 20.2; p = 0.001), plaque (20.1 +/- 14.0 vs. 2.7 +/- 17.4; p = 0.009), and odour score (1.6 +/- 1.7 vs. 0.3 +/- 1.4; p = 0.019). Tongue-coating score showed a favourable but non-significant exploratory pattern (6.2 +/- 5.5 vs. 1.4 +/- 6.6; p = 0.057). </w:t>
      </w:r>
      <w:r w:rsidRPr="000355F8">
        <w:rPr>
          <w:rFonts w:eastAsia="Times New Roman" w:cs="Arial"/>
          <w:b/>
          <w:bCs/>
          <w:color w:val="000000"/>
          <w:sz w:val="21"/>
          <w:szCs w:val="21"/>
          <w:lang w:eastAsia="en-GB"/>
        </w:rPr>
        <w:t>CONCLUSION</w:t>
      </w:r>
      <w:r w:rsidRPr="000355F8">
        <w:rPr>
          <w:rFonts w:eastAsia="Times New Roman" w:cs="Arial"/>
          <w:color w:val="000000"/>
          <w:sz w:val="21"/>
          <w:szCs w:val="21"/>
          <w:lang w:eastAsia="en-GB"/>
        </w:rPr>
        <w:t>: Structured, individualized oral care delivered by trained nursing staff was associated with improvements in screening and clinical inflammatory markers among dysphagic, care-dependent ABI individuals. Given the cluster-level implementation, small sample size, and nonrandomized allocation, findings indicate feasibility and support hypothesis-generating evidence of potential clinical benefit but do not establish causal efficacy.</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t>Copyright © 2026 The Author(s). Journal of Oral Rehabilitation published by John Wiley &amp; Sons Ltd.</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Access or request full text: </w:t>
      </w:r>
      <w:hyperlink r:id="rId43" w:tgtFrame="_blank" w:history="1">
        <w:r w:rsidRPr="000355F8">
          <w:rPr>
            <w:rFonts w:eastAsia="Times New Roman" w:cs="Arial"/>
            <w:color w:val="0066CC"/>
            <w:sz w:val="21"/>
            <w:szCs w:val="21"/>
            <w:lang w:eastAsia="en-GB"/>
          </w:rPr>
          <w:t>https://libkey.io/10.1111/joor.70299</w:t>
        </w:r>
      </w:hyperlink>
    </w:p>
    <w:p w14:paraId="1D7B6F55" w14:textId="77777777" w:rsidR="000355F8" w:rsidRPr="000355F8" w:rsidRDefault="000355F8" w:rsidP="000355F8">
      <w:pPr>
        <w:shd w:val="clear" w:color="auto" w:fill="FFFFFF"/>
        <w:spacing w:after="173"/>
        <w:ind w:left="450" w:hanging="450"/>
        <w:rPr>
          <w:rFonts w:eastAsia="Times New Roman" w:cs="Arial"/>
          <w:color w:val="000000"/>
          <w:sz w:val="21"/>
          <w:szCs w:val="21"/>
          <w:lang w:eastAsia="en-GB"/>
        </w:rPr>
      </w:pPr>
      <w:r w:rsidRPr="000355F8">
        <w:rPr>
          <w:rFonts w:eastAsia="Times New Roman" w:cs="Arial"/>
          <w:color w:val="000000"/>
          <w:sz w:val="21"/>
          <w:szCs w:val="21"/>
          <w:lang w:eastAsia="en-GB"/>
        </w:rPr>
        <w:t xml:space="preserve">8. </w:t>
      </w:r>
      <w:r w:rsidRPr="000355F8">
        <w:rPr>
          <w:rFonts w:eastAsia="Times New Roman" w:cs="Arial"/>
          <w:b/>
          <w:bCs/>
          <w:color w:val="000000"/>
          <w:sz w:val="21"/>
          <w:szCs w:val="21"/>
          <w:lang w:eastAsia="en-GB"/>
        </w:rPr>
        <w:t>Prognostic value of baseline modified barium swallow for perioperative dysphagia in oropharyngeal cancer: Secondary analysis of ECOG-ACRIN E3311.</w:t>
      </w:r>
      <w:r w:rsidRPr="000355F8">
        <w:rPr>
          <w:rFonts w:eastAsia="Times New Roman" w:cs="Arial"/>
          <w:b/>
          <w:bCs/>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lastRenderedPageBreak/>
        <w:t>Authors:</w:t>
      </w:r>
      <w:r w:rsidRPr="000355F8">
        <w:rPr>
          <w:rFonts w:eastAsia="Times New Roman" w:cs="Arial"/>
          <w:color w:val="000000"/>
          <w:sz w:val="21"/>
          <w:szCs w:val="21"/>
          <w:lang w:eastAsia="en-GB"/>
        </w:rPr>
        <w:t xml:space="preserve"> Manduchi, Beatrice;Flamand, Yael;Ferris, Robert L.;Quon, Harry;Weinstein, Gregory S.;Mehra, Ranee;Garcia, Joaquin J.;Peterson, Christine B.;Kim, Seungwon;Ozer, Enver;Gross, Neil D.;Bell, R. Bryan;Saba, Nabil F.;Koch, Wayne M.;Civantos, Francisco;Thomas, Tom;Holsinger, Floyd;Mehra, Saral;Gal, Thomas;Hutcheson, Katherine A., et al</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Publication Date: </w:t>
      </w:r>
      <w:r w:rsidRPr="000355F8">
        <w:rPr>
          <w:rFonts w:eastAsia="Times New Roman" w:cs="Arial"/>
          <w:color w:val="000000"/>
          <w:sz w:val="21"/>
          <w:szCs w:val="21"/>
          <w:lang w:eastAsia="en-GB"/>
        </w:rPr>
        <w:t>Oct 05 ,2026</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Journal: </w:t>
      </w:r>
      <w:r w:rsidRPr="000355F8">
        <w:rPr>
          <w:rFonts w:eastAsia="Times New Roman" w:cs="Arial"/>
          <w:color w:val="000000"/>
          <w:sz w:val="21"/>
          <w:szCs w:val="21"/>
          <w:lang w:eastAsia="en-GB"/>
        </w:rPr>
        <w:t>Oral Oncology 182, pp. 108162</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Abstract: BACKGROUND</w:t>
      </w:r>
      <w:r w:rsidRPr="000355F8">
        <w:rPr>
          <w:rFonts w:eastAsia="Times New Roman" w:cs="Arial"/>
          <w:color w:val="000000"/>
          <w:sz w:val="21"/>
          <w:szCs w:val="21"/>
          <w:lang w:eastAsia="en-GB"/>
        </w:rPr>
        <w:t xml:space="preserve">: Transoral surgery (TOS) for HPV-related oropharyngeal cancer (OPC) demonstrated excellent oncologic outcomes, but early postoperative dysphagia remains common and clinically consequential. Identifying patients at increased risk before surgery is critical to guide early supportive care. We examined whether baseline swallowing impairment assessed by modified barium swallow (MBS) predicts early post-TOS dysphagia. </w:t>
      </w:r>
      <w:r w:rsidRPr="000355F8">
        <w:rPr>
          <w:rFonts w:eastAsia="Times New Roman" w:cs="Arial"/>
          <w:b/>
          <w:bCs/>
          <w:color w:val="000000"/>
          <w:sz w:val="21"/>
          <w:szCs w:val="21"/>
          <w:lang w:eastAsia="en-GB"/>
        </w:rPr>
        <w:t>METHODS</w:t>
      </w:r>
      <w:r w:rsidRPr="000355F8">
        <w:rPr>
          <w:rFonts w:eastAsia="Times New Roman" w:cs="Arial"/>
          <w:color w:val="000000"/>
          <w:sz w:val="21"/>
          <w:szCs w:val="21"/>
          <w:lang w:eastAsia="en-GB"/>
        </w:rPr>
        <w:t xml:space="preserve">: In this retrospective, exploratory secondary analysis of a selected subset of Phase II ECOG-ACRIN E3311 trial, 89 patients with paired baseline and post-TOS MBS (before adjuvant therapy) underwent blinded central review using the Dynamic Imaging Grade of Swallowing Toxicity (DIGEST). The primary outcome was moderate-to-severe post-TOS dysphagia (DIGEST &gt;= 2); secondary outcomes were any dysphagia (DIGEST &gt;= 1) and worsening DIGEST. The prognostic value of baseline DIGEST &gt;= 1 was assessed with Firth penalized logistic regression adjusted for age, sex, race, T/N stage, and primary site. </w:t>
      </w:r>
      <w:r w:rsidRPr="000355F8">
        <w:rPr>
          <w:rFonts w:eastAsia="Times New Roman" w:cs="Arial"/>
          <w:b/>
          <w:bCs/>
          <w:color w:val="000000"/>
          <w:sz w:val="21"/>
          <w:szCs w:val="21"/>
          <w:lang w:eastAsia="en-GB"/>
        </w:rPr>
        <w:t>RESULTS</w:t>
      </w:r>
      <w:r w:rsidRPr="000355F8">
        <w:rPr>
          <w:rFonts w:eastAsia="Times New Roman" w:cs="Arial"/>
          <w:color w:val="000000"/>
          <w:sz w:val="21"/>
          <w:szCs w:val="21"/>
          <w:lang w:eastAsia="en-GB"/>
        </w:rPr>
        <w:t xml:space="preserve">: At baseline, 80% had no dysphagia and 17% had mild dysphagia (DIGEST = 1); moderate-to-severe impairment was rare (3%). Postoperatively, 45 patients (51%) worsened by &gt;= 1 DIGEST grade, and 16% developed moderate-to-severe dysphagia. Baseline DIGEST &gt;= 1 was independently associated with post-TOS DIGEST &gt;= 2 (adjusted OR 4.69; 95% CI 1.32-16.64), with an absolute risk difference of 23.8% (95% CI 2.6-48.8%) and moderate optimism-corrected discrimination (AUC 0.75; 95% CI 0.59-0.88). </w:t>
      </w:r>
      <w:r w:rsidRPr="000355F8">
        <w:rPr>
          <w:rFonts w:eastAsia="Times New Roman" w:cs="Arial"/>
          <w:b/>
          <w:bCs/>
          <w:color w:val="000000"/>
          <w:sz w:val="21"/>
          <w:szCs w:val="21"/>
          <w:lang w:eastAsia="en-GB"/>
        </w:rPr>
        <w:t>CONCLUSIONS</w:t>
      </w:r>
      <w:r w:rsidRPr="000355F8">
        <w:rPr>
          <w:rFonts w:eastAsia="Times New Roman" w:cs="Arial"/>
          <w:color w:val="000000"/>
          <w:sz w:val="21"/>
          <w:szCs w:val="21"/>
          <w:lang w:eastAsia="en-GB"/>
        </w:rPr>
        <w:t>: Baseline mild swallowing impairment identified on MBS was associated with high-grade acute postoperative dysphagia following TOS for HPV-related OPC. Preoperative imaging-based swallowing assessment before surgery may help risk-stratify patients for targeted pre-habilitation, nutritional support, and early postoperative swallowing imaging in 1 in 5 patients to mitigate postoperative swallowing morbidity.</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t>Copyright © 2026. Published by Elsevier Ltd.</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Access or request full text: </w:t>
      </w:r>
      <w:hyperlink r:id="rId44" w:tgtFrame="_blank" w:history="1">
        <w:r w:rsidRPr="000355F8">
          <w:rPr>
            <w:rFonts w:eastAsia="Times New Roman" w:cs="Arial"/>
            <w:color w:val="0066CC"/>
            <w:sz w:val="21"/>
            <w:szCs w:val="21"/>
            <w:lang w:eastAsia="en-GB"/>
          </w:rPr>
          <w:t>https://libkey.io/10.1016/j.oraloncology.2026.108162</w:t>
        </w:r>
      </w:hyperlink>
    </w:p>
    <w:p w14:paraId="236AD710" w14:textId="25B3EC3A" w:rsidR="000355F8" w:rsidRPr="000355F8" w:rsidRDefault="000355F8" w:rsidP="000355F8">
      <w:pPr>
        <w:shd w:val="clear" w:color="auto" w:fill="FFFFFF"/>
        <w:spacing w:after="173"/>
        <w:ind w:left="450" w:hanging="450"/>
        <w:rPr>
          <w:rFonts w:eastAsia="Times New Roman" w:cs="Arial"/>
          <w:color w:val="000000"/>
          <w:sz w:val="21"/>
          <w:szCs w:val="21"/>
          <w:lang w:eastAsia="en-GB"/>
        </w:rPr>
      </w:pPr>
      <w:r w:rsidRPr="000355F8">
        <w:rPr>
          <w:rFonts w:eastAsia="Times New Roman" w:cs="Arial"/>
          <w:color w:val="000000"/>
          <w:sz w:val="21"/>
          <w:szCs w:val="21"/>
          <w:lang w:eastAsia="en-GB"/>
        </w:rPr>
        <w:t xml:space="preserve">9. </w:t>
      </w:r>
      <w:r w:rsidRPr="000355F8">
        <w:rPr>
          <w:rFonts w:eastAsia="Times New Roman" w:cs="Arial"/>
          <w:b/>
          <w:bCs/>
          <w:color w:val="000000"/>
          <w:sz w:val="21"/>
          <w:szCs w:val="21"/>
          <w:lang w:eastAsia="en-GB"/>
        </w:rPr>
        <w:t>Pelvic Floor Symptoms and Functional Status in Women With and Without Risk of Dysphagia After Stroke: A Cross-Sectional Comparative Study.</w:t>
      </w:r>
      <w:r w:rsidRPr="000355F8">
        <w:rPr>
          <w:rFonts w:eastAsia="Times New Roman" w:cs="Arial"/>
          <w:b/>
          <w:bCs/>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Authors:</w:t>
      </w:r>
      <w:r w:rsidRPr="000355F8">
        <w:rPr>
          <w:rFonts w:eastAsia="Times New Roman" w:cs="Arial"/>
          <w:color w:val="000000"/>
          <w:sz w:val="21"/>
          <w:szCs w:val="21"/>
          <w:lang w:eastAsia="en-GB"/>
        </w:rPr>
        <w:t xml:space="preserve"> Ozturk, Merve;Ozun, Ozgu Inal;Gurcay, Eda;Uzelpasaci, Esra and Kesikburun, Serdar</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Publication Date: </w:t>
      </w:r>
      <w:r w:rsidRPr="000355F8">
        <w:rPr>
          <w:rFonts w:eastAsia="Times New Roman" w:cs="Arial"/>
          <w:color w:val="000000"/>
          <w:sz w:val="21"/>
          <w:szCs w:val="21"/>
          <w:lang w:eastAsia="en-GB"/>
        </w:rPr>
        <w:t>2026</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Journal: </w:t>
      </w:r>
      <w:r w:rsidRPr="000355F8">
        <w:rPr>
          <w:rFonts w:eastAsia="Times New Roman" w:cs="Arial"/>
          <w:color w:val="000000"/>
          <w:sz w:val="21"/>
          <w:szCs w:val="21"/>
          <w:lang w:eastAsia="en-GB"/>
        </w:rPr>
        <w:t>International Urogynecology Journal</w:t>
      </w:r>
      <w:r>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Abstract: INTRODUCTION AND HYPOTHESIS</w:t>
      </w:r>
      <w:r w:rsidRPr="000355F8">
        <w:rPr>
          <w:rFonts w:eastAsia="Times New Roman" w:cs="Arial"/>
          <w:color w:val="000000"/>
          <w:sz w:val="21"/>
          <w:szCs w:val="21"/>
          <w:lang w:eastAsia="en-GB"/>
        </w:rPr>
        <w:t xml:space="preserve">: Dysphagia is associated with pelvic floor dysfunction and poor functional outcomes after stroke. We hypothesized that pelvic floor symptoms and functional status differ according to dysphagia risk in women with stroke. </w:t>
      </w:r>
      <w:r w:rsidRPr="000355F8">
        <w:rPr>
          <w:rFonts w:eastAsia="Times New Roman" w:cs="Arial"/>
          <w:b/>
          <w:bCs/>
          <w:color w:val="000000"/>
          <w:sz w:val="21"/>
          <w:szCs w:val="21"/>
          <w:lang w:eastAsia="en-GB"/>
        </w:rPr>
        <w:t>METHODS</w:t>
      </w:r>
      <w:r w:rsidRPr="000355F8">
        <w:rPr>
          <w:rFonts w:eastAsia="Times New Roman" w:cs="Arial"/>
          <w:color w:val="000000"/>
          <w:sz w:val="21"/>
          <w:szCs w:val="21"/>
          <w:lang w:eastAsia="en-GB"/>
        </w:rPr>
        <w:t xml:space="preserve">: This study included 71 women aged 18-65 years with a diagnosis of a stroke. Individuals scoring 3 or higher on the Turkish Eating Assessment Tool-10 were classified as being at risk of dysphagia (n = 31), whereas individuals scoring below 3 were classified as not at risk of dysphagia (n = 40). Assessments included the Pelvic Floor Distress Inventory-20 (PFDI-20), Short Physical Performance Battery (SPPB), Timed Up and Go Test (TUG), Jamar hand dynamometer, Fugl-Meyer Upper Extremity Assessment, and the Modified Barthel Index. </w:t>
      </w:r>
      <w:r w:rsidRPr="000355F8">
        <w:rPr>
          <w:rFonts w:eastAsia="Times New Roman" w:cs="Arial"/>
          <w:b/>
          <w:bCs/>
          <w:color w:val="000000"/>
          <w:sz w:val="21"/>
          <w:szCs w:val="21"/>
          <w:lang w:eastAsia="en-GB"/>
        </w:rPr>
        <w:t>RESULTS</w:t>
      </w:r>
      <w:r w:rsidRPr="000355F8">
        <w:rPr>
          <w:rFonts w:eastAsia="Times New Roman" w:cs="Arial"/>
          <w:color w:val="000000"/>
          <w:sz w:val="21"/>
          <w:szCs w:val="21"/>
          <w:lang w:eastAsia="en-GB"/>
        </w:rPr>
        <w:t xml:space="preserve">: The PFDI-20 total was significantly higher in women with stroke </w:t>
      </w:r>
      <w:r w:rsidRPr="000355F8">
        <w:rPr>
          <w:rFonts w:eastAsia="Times New Roman" w:cs="Arial"/>
          <w:color w:val="000000"/>
          <w:sz w:val="21"/>
          <w:szCs w:val="21"/>
          <w:lang w:eastAsia="en-GB"/>
        </w:rPr>
        <w:lastRenderedPageBreak/>
        <w:t>who were at risk of dysphagia (</w:t>
      </w:r>
      <w:r w:rsidRPr="000355F8">
        <w:rPr>
          <w:rFonts w:eastAsia="Times New Roman" w:cs="Arial"/>
          <w:i/>
          <w:iCs/>
          <w:color w:val="000000"/>
          <w:sz w:val="21"/>
          <w:szCs w:val="21"/>
          <w:lang w:eastAsia="en-GB"/>
        </w:rPr>
        <w:t>p</w:t>
      </w:r>
      <w:r w:rsidRPr="000355F8">
        <w:rPr>
          <w:rFonts w:eastAsia="Times New Roman" w:cs="Arial"/>
          <w:color w:val="000000"/>
          <w:sz w:val="21"/>
          <w:szCs w:val="21"/>
          <w:lang w:eastAsia="en-GB"/>
        </w:rPr>
        <w:t xml:space="preserve"> = 0.013 and </w:t>
      </w:r>
      <w:r w:rsidRPr="000355F8">
        <w:rPr>
          <w:rFonts w:eastAsia="Times New Roman" w:cs="Arial"/>
          <w:i/>
          <w:iCs/>
          <w:color w:val="000000"/>
          <w:sz w:val="21"/>
          <w:szCs w:val="21"/>
          <w:lang w:eastAsia="en-GB"/>
        </w:rPr>
        <w:t>p</w:t>
      </w:r>
      <w:r w:rsidRPr="000355F8">
        <w:rPr>
          <w:rFonts w:eastAsia="Times New Roman" w:cs="Arial"/>
          <w:color w:val="000000"/>
          <w:sz w:val="21"/>
          <w:szCs w:val="21"/>
          <w:lang w:eastAsia="en-GB"/>
        </w:rPr>
        <w:t xml:space="preserve"> &lt; 0.001 respectively). Participants at risk of dysphagia demonstrated lower, but not statistically significantly, SPPB subtests. Additionally, TUG test completion times were significantly longer in the dysphagia risk group (</w:t>
      </w:r>
      <w:r w:rsidRPr="000355F8">
        <w:rPr>
          <w:rFonts w:eastAsia="Times New Roman" w:cs="Arial"/>
          <w:i/>
          <w:iCs/>
          <w:color w:val="000000"/>
          <w:sz w:val="21"/>
          <w:szCs w:val="21"/>
          <w:lang w:eastAsia="en-GB"/>
        </w:rPr>
        <w:t>p</w:t>
      </w:r>
      <w:r w:rsidRPr="000355F8">
        <w:rPr>
          <w:rFonts w:eastAsia="Times New Roman" w:cs="Arial"/>
          <w:color w:val="000000"/>
          <w:sz w:val="21"/>
          <w:szCs w:val="21"/>
          <w:lang w:eastAsia="en-GB"/>
        </w:rPr>
        <w:t xml:space="preserve"> = 0.002). In addition, dysphagia risk was independently associated with post-stroke urinary incontinence after adjustment for parity, post-stroke constipation, and physical performance.</w:t>
      </w:r>
      <w:r>
        <w:rPr>
          <w:rFonts w:eastAsia="Times New Roman" w:cs="Arial"/>
          <w:color w:val="000000"/>
          <w:sz w:val="21"/>
          <w:szCs w:val="21"/>
          <w:lang w:eastAsia="en-GB"/>
        </w:rPr>
        <w:t xml:space="preserve"> </w:t>
      </w:r>
      <w:r w:rsidRPr="000355F8">
        <w:rPr>
          <w:rFonts w:eastAsia="Times New Roman" w:cs="Arial"/>
          <w:b/>
          <w:bCs/>
          <w:color w:val="000000"/>
          <w:sz w:val="21"/>
          <w:szCs w:val="21"/>
          <w:lang w:eastAsia="en-GB"/>
        </w:rPr>
        <w:t>CONCLUSIONS</w:t>
      </w:r>
      <w:r w:rsidRPr="000355F8">
        <w:rPr>
          <w:rFonts w:eastAsia="Times New Roman" w:cs="Arial"/>
          <w:color w:val="000000"/>
          <w:sz w:val="21"/>
          <w:szCs w:val="21"/>
          <w:lang w:eastAsia="en-GB"/>
        </w:rPr>
        <w:t>: This study addresses an important gap in the literature by examining the relationship between pelvic floor symptoms, functional status, and dysphagia in women after stroke. Pelvic floor symptoms were more common in individuals at risk of dysphagia, and physical performance, hand-grip strength, functional mobility, and independence in activities of daily living were lower. Given the risk of dysphagia after a stroke, holistic assessment including evaluation of pelvic symptoms and physical performance is important.</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t>Copyright © 2026. The Author(s), under exclusive license to International Urogynecological Association.</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Access or request full text: </w:t>
      </w:r>
      <w:hyperlink r:id="rId45" w:tgtFrame="_blank" w:history="1">
        <w:r w:rsidRPr="000355F8">
          <w:rPr>
            <w:rFonts w:eastAsia="Times New Roman" w:cs="Arial"/>
            <w:color w:val="0066CC"/>
            <w:sz w:val="21"/>
            <w:szCs w:val="21"/>
            <w:lang w:eastAsia="en-GB"/>
          </w:rPr>
          <w:t>https://libkey.io/10.1007/s00192-026-06871-6</w:t>
        </w:r>
      </w:hyperlink>
    </w:p>
    <w:p w14:paraId="54C949B7" w14:textId="13837E35" w:rsidR="000355F8" w:rsidRPr="000355F8" w:rsidRDefault="000355F8" w:rsidP="000355F8">
      <w:pPr>
        <w:shd w:val="clear" w:color="auto" w:fill="FFFFFF"/>
        <w:spacing w:after="173"/>
        <w:ind w:left="450" w:hanging="450"/>
        <w:rPr>
          <w:rFonts w:eastAsia="Times New Roman" w:cs="Arial"/>
          <w:color w:val="000000"/>
          <w:sz w:val="21"/>
          <w:szCs w:val="21"/>
          <w:lang w:eastAsia="en-GB"/>
        </w:rPr>
      </w:pPr>
      <w:r w:rsidRPr="000355F8">
        <w:rPr>
          <w:rFonts w:eastAsia="Times New Roman" w:cs="Arial"/>
          <w:color w:val="000000"/>
          <w:sz w:val="21"/>
          <w:szCs w:val="21"/>
          <w:lang w:eastAsia="en-GB"/>
        </w:rPr>
        <w:t xml:space="preserve">10. </w:t>
      </w:r>
      <w:r w:rsidRPr="000355F8">
        <w:rPr>
          <w:rFonts w:eastAsia="Times New Roman" w:cs="Arial"/>
          <w:b/>
          <w:bCs/>
          <w:color w:val="000000"/>
          <w:sz w:val="21"/>
          <w:szCs w:val="21"/>
          <w:lang w:eastAsia="en-GB"/>
        </w:rPr>
        <w:t>Effects of Sequential 4-Channel Neuromuscular Electrical Stimulation on Hyoid Excursion, Swallowing Safety and Oral Intake in Older Adults With Sarcopenic Dysphagia: A Randomized Controlled Trial.</w:t>
      </w:r>
      <w:r w:rsidRPr="000355F8">
        <w:rPr>
          <w:rFonts w:eastAsia="Times New Roman" w:cs="Arial"/>
          <w:b/>
          <w:bCs/>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Authors:</w:t>
      </w:r>
      <w:r w:rsidRPr="000355F8">
        <w:rPr>
          <w:rFonts w:eastAsia="Times New Roman" w:cs="Arial"/>
          <w:color w:val="000000"/>
          <w:sz w:val="21"/>
          <w:szCs w:val="21"/>
          <w:lang w:eastAsia="en-GB"/>
        </w:rPr>
        <w:t xml:space="preserve"> Park, Ji-Su;Hwang, Na-Kyoung;Chang, Moon-Young and Lee, Gihyoun</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Publication Date: </w:t>
      </w:r>
      <w:r w:rsidRPr="000355F8">
        <w:rPr>
          <w:rFonts w:eastAsia="Times New Roman" w:cs="Arial"/>
          <w:color w:val="000000"/>
          <w:sz w:val="21"/>
          <w:szCs w:val="21"/>
          <w:lang w:eastAsia="en-GB"/>
        </w:rPr>
        <w:t>2026</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Journal: </w:t>
      </w:r>
      <w:r w:rsidRPr="000355F8">
        <w:rPr>
          <w:rFonts w:eastAsia="Times New Roman" w:cs="Arial"/>
          <w:color w:val="000000"/>
          <w:sz w:val="21"/>
          <w:szCs w:val="21"/>
          <w:lang w:eastAsia="en-GB"/>
        </w:rPr>
        <w:t>Journal of Oral Rehabilitation</w:t>
      </w:r>
      <w:r>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Abstract: BACKGROUND</w:t>
      </w:r>
      <w:r w:rsidRPr="000355F8">
        <w:rPr>
          <w:rFonts w:eastAsia="Times New Roman" w:cs="Arial"/>
          <w:color w:val="000000"/>
          <w:sz w:val="21"/>
          <w:szCs w:val="21"/>
          <w:lang w:eastAsia="en-GB"/>
        </w:rPr>
        <w:t xml:space="preserve">: Sequential 4-channel neuromuscular electrical stimulation (NMES) was originally developed to mimic the physiological activation sequence of the swallowing-related muscles; however, its efficacy in older adults with sarcopenic dysphagia remains unclear. This study investigated the effects of sequential 4-channel NMES on hyoid excursion, swallowing safety, and oral intake in older adults with sarcopenic dysphagia. </w:t>
      </w:r>
      <w:r w:rsidRPr="000355F8">
        <w:rPr>
          <w:rFonts w:eastAsia="Times New Roman" w:cs="Arial"/>
          <w:b/>
          <w:bCs/>
          <w:color w:val="000000"/>
          <w:sz w:val="21"/>
          <w:szCs w:val="21"/>
          <w:lang w:eastAsia="en-GB"/>
        </w:rPr>
        <w:t>METHODS</w:t>
      </w:r>
      <w:r w:rsidRPr="000355F8">
        <w:rPr>
          <w:rFonts w:eastAsia="Times New Roman" w:cs="Arial"/>
          <w:color w:val="000000"/>
          <w:sz w:val="21"/>
          <w:szCs w:val="21"/>
          <w:lang w:eastAsia="en-GB"/>
        </w:rPr>
        <w:t xml:space="preserve">: Forty older adults with sarcopenic dysphagia were randomly assigned to either the sequential 4-channel (n = 20) or the conventional 2-channel (n = 20) NMES groups. Both groups received NMES intervention for 30 min per session, five times per week, for 6 weeks. Outcome measures included anterior and superior hyoid excursion assessed using the videofluoroscopic swallowing study (VFSS), penetration-aspiration scale (PAS), and functional oral intake scale (FOIS). Two-way repeated-measures analysis of variance was conducted to evaluate group x time interaction effects. </w:t>
      </w:r>
      <w:r w:rsidRPr="000355F8">
        <w:rPr>
          <w:rFonts w:eastAsia="Times New Roman" w:cs="Arial"/>
          <w:b/>
          <w:bCs/>
          <w:color w:val="000000"/>
          <w:sz w:val="21"/>
          <w:szCs w:val="21"/>
          <w:lang w:eastAsia="en-GB"/>
        </w:rPr>
        <w:t>RESULTS</w:t>
      </w:r>
      <w:r w:rsidRPr="000355F8">
        <w:rPr>
          <w:rFonts w:eastAsia="Times New Roman" w:cs="Arial"/>
          <w:color w:val="000000"/>
          <w:sz w:val="21"/>
          <w:szCs w:val="21"/>
          <w:lang w:eastAsia="en-GB"/>
        </w:rPr>
        <w:t xml:space="preserve">: Significant group x time interaction effects were observed for anterior hyoid excursion (F = 18.46, p : Significant group x time interaction effects were observed for anterior hyoid excursion (F = 18.46, p </w:t>
      </w:r>
      <w:r w:rsidRPr="000355F8">
        <w:rPr>
          <w:rFonts w:eastAsia="Times New Roman" w:cs="Arial"/>
          <w:color w:val="000000"/>
          <w:sz w:val="16"/>
          <w:szCs w:val="16"/>
          <w:vertAlign w:val="superscript"/>
          <w:lang w:eastAsia="en-GB"/>
        </w:rPr>
        <w:t>2</w:t>
      </w:r>
      <w:r w:rsidRPr="000355F8">
        <w:rPr>
          <w:rFonts w:eastAsia="Times New Roman" w:cs="Arial"/>
          <w:color w:val="000000"/>
          <w:sz w:val="21"/>
          <w:szCs w:val="21"/>
          <w:lang w:eastAsia="en-GB"/>
        </w:rPr>
        <w:t>p = 0.327), superior hyoid excursion (F = 6.94, p = 0.012, eta</w:t>
      </w:r>
      <w:r w:rsidRPr="000355F8">
        <w:rPr>
          <w:rFonts w:eastAsia="Times New Roman" w:cs="Arial"/>
          <w:color w:val="000000"/>
          <w:sz w:val="16"/>
          <w:szCs w:val="16"/>
          <w:vertAlign w:val="superscript"/>
          <w:lang w:eastAsia="en-GB"/>
        </w:rPr>
        <w:t>2</w:t>
      </w:r>
      <w:r w:rsidRPr="000355F8">
        <w:rPr>
          <w:rFonts w:eastAsia="Times New Roman" w:cs="Arial"/>
          <w:color w:val="000000"/>
          <w:sz w:val="21"/>
          <w:szCs w:val="21"/>
          <w:lang w:eastAsia="en-GB"/>
        </w:rPr>
        <w:t>p = 0.154), PAS (F = 7.96, p = 0.008, eta</w:t>
      </w:r>
      <w:r w:rsidRPr="000355F8">
        <w:rPr>
          <w:rFonts w:eastAsia="Times New Roman" w:cs="Arial"/>
          <w:color w:val="000000"/>
          <w:sz w:val="16"/>
          <w:szCs w:val="16"/>
          <w:vertAlign w:val="superscript"/>
          <w:lang w:eastAsia="en-GB"/>
        </w:rPr>
        <w:t>2</w:t>
      </w:r>
      <w:r w:rsidRPr="000355F8">
        <w:rPr>
          <w:rFonts w:eastAsia="Times New Roman" w:cs="Arial"/>
          <w:color w:val="000000"/>
          <w:sz w:val="21"/>
          <w:szCs w:val="21"/>
          <w:lang w:eastAsia="en-GB"/>
        </w:rPr>
        <w:t>p = 0.173), and FOIS (F = 8.66, p = 0.006, eta</w:t>
      </w:r>
      <w:r w:rsidRPr="000355F8">
        <w:rPr>
          <w:rFonts w:eastAsia="Times New Roman" w:cs="Arial"/>
          <w:color w:val="000000"/>
          <w:sz w:val="16"/>
          <w:szCs w:val="16"/>
          <w:vertAlign w:val="superscript"/>
          <w:lang w:eastAsia="en-GB"/>
        </w:rPr>
        <w:t>2</w:t>
      </w:r>
      <w:r w:rsidRPr="000355F8">
        <w:rPr>
          <w:rFonts w:eastAsia="Times New Roman" w:cs="Arial"/>
          <w:color w:val="000000"/>
          <w:sz w:val="21"/>
          <w:szCs w:val="21"/>
          <w:lang w:eastAsia="en-GB"/>
        </w:rPr>
        <w:t xml:space="preserve">p = 0.186). Overall, the 4-channel NMES group demonstrated greater improvements in hyoid excursion, swallowing safety, and oral intake function than the 2-channel NMES group. </w:t>
      </w:r>
      <w:r w:rsidRPr="000355F8">
        <w:rPr>
          <w:rFonts w:eastAsia="Times New Roman" w:cs="Arial"/>
          <w:b/>
          <w:bCs/>
          <w:color w:val="000000"/>
          <w:sz w:val="21"/>
          <w:szCs w:val="21"/>
          <w:lang w:eastAsia="en-GB"/>
        </w:rPr>
        <w:t>CONCLUSION</w:t>
      </w:r>
      <w:r w:rsidRPr="000355F8">
        <w:rPr>
          <w:rFonts w:eastAsia="Times New Roman" w:cs="Arial"/>
          <w:color w:val="000000"/>
          <w:sz w:val="21"/>
          <w:szCs w:val="21"/>
          <w:lang w:eastAsia="en-GB"/>
        </w:rPr>
        <w:t>: These findings support the use of physiologically-sequenced stimulation as a promising rehabilitation strategy to address swallowing impairments associated with sarcopenic dysphagia.</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t>Copyright © 2026 John Wiley &amp; Sons Ltd.</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Access or request full text: </w:t>
      </w:r>
      <w:hyperlink r:id="rId46" w:tgtFrame="_blank" w:history="1">
        <w:r w:rsidRPr="000355F8">
          <w:rPr>
            <w:rFonts w:eastAsia="Times New Roman" w:cs="Arial"/>
            <w:color w:val="0066CC"/>
            <w:sz w:val="21"/>
            <w:szCs w:val="21"/>
            <w:lang w:eastAsia="en-GB"/>
          </w:rPr>
          <w:t>https://libkey.io/10.1111/joor.70322</w:t>
        </w:r>
      </w:hyperlink>
    </w:p>
    <w:p w14:paraId="491DE791" w14:textId="10FEA16D" w:rsidR="000355F8" w:rsidRPr="000355F8" w:rsidRDefault="000355F8" w:rsidP="000355F8">
      <w:pPr>
        <w:shd w:val="clear" w:color="auto" w:fill="FFFFFF"/>
        <w:spacing w:after="173"/>
        <w:ind w:left="450" w:hanging="450"/>
        <w:rPr>
          <w:rFonts w:eastAsia="Times New Roman" w:cs="Arial"/>
          <w:color w:val="000000"/>
          <w:sz w:val="21"/>
          <w:szCs w:val="21"/>
          <w:lang w:eastAsia="en-GB"/>
        </w:rPr>
      </w:pPr>
      <w:r w:rsidRPr="000355F8">
        <w:rPr>
          <w:rFonts w:eastAsia="Times New Roman" w:cs="Arial"/>
          <w:color w:val="000000"/>
          <w:sz w:val="21"/>
          <w:szCs w:val="21"/>
          <w:lang w:eastAsia="en-GB"/>
        </w:rPr>
        <w:t xml:space="preserve">11. </w:t>
      </w:r>
      <w:r w:rsidRPr="000355F8">
        <w:rPr>
          <w:rFonts w:eastAsia="Times New Roman" w:cs="Arial"/>
          <w:b/>
          <w:bCs/>
          <w:color w:val="000000"/>
          <w:sz w:val="21"/>
          <w:szCs w:val="21"/>
          <w:lang w:eastAsia="en-GB"/>
        </w:rPr>
        <w:t>Comparative effectiveness of dysphagia rehabilitation in head and neck cancer: A network meta-analysis.</w:t>
      </w:r>
      <w:r w:rsidRPr="000355F8">
        <w:rPr>
          <w:rFonts w:eastAsia="Times New Roman" w:cs="Arial"/>
          <w:b/>
          <w:bCs/>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Authors:</w:t>
      </w:r>
      <w:r w:rsidRPr="000355F8">
        <w:rPr>
          <w:rFonts w:eastAsia="Times New Roman" w:cs="Arial"/>
          <w:color w:val="000000"/>
          <w:sz w:val="21"/>
          <w:szCs w:val="21"/>
          <w:lang w:eastAsia="en-GB"/>
        </w:rPr>
        <w:t xml:space="preserve"> Park, Jong Mi;Yoon, Seo Yeon;Lee, Sang Chul and Kim, Yong Wook</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lastRenderedPageBreak/>
        <w:t xml:space="preserve">Publication Date: </w:t>
      </w:r>
      <w:r w:rsidRPr="000355F8">
        <w:rPr>
          <w:rFonts w:eastAsia="Times New Roman" w:cs="Arial"/>
          <w:color w:val="000000"/>
          <w:sz w:val="21"/>
          <w:szCs w:val="21"/>
          <w:lang w:eastAsia="en-GB"/>
        </w:rPr>
        <w:t>Sep 23 ,2026</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Journal: </w:t>
      </w:r>
      <w:r w:rsidRPr="000355F8">
        <w:rPr>
          <w:rFonts w:eastAsia="Times New Roman" w:cs="Arial"/>
          <w:color w:val="000000"/>
          <w:sz w:val="21"/>
          <w:szCs w:val="21"/>
          <w:lang w:eastAsia="en-GB"/>
        </w:rPr>
        <w:t>Clinical Rehabilitation 2692155261487949</w:t>
      </w:r>
      <w:r>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Abstract: </w:t>
      </w:r>
      <w:r w:rsidRPr="000355F8">
        <w:rPr>
          <w:rFonts w:eastAsia="Times New Roman" w:cs="Arial"/>
          <w:color w:val="000000"/>
          <w:sz w:val="21"/>
          <w:szCs w:val="21"/>
          <w:lang w:eastAsia="en-GB"/>
        </w:rPr>
        <w:t>Objective To compare rehabilitation interventions for dysphagia after head and neck cancer treatment using network meta-analysis.Data sourcesPubMed/MEDLINE, EMBASE, Cochrane Library, Scopus, and Web of Science were searched from inception to 21 July 2026.Review methodsRandomised controlled trials evaluating swallowing exercise, neuromuscular electrical stimulation combined with exercise (NMES+ex), speech therapy combined with exercise (Speech+ex) or telerehabilitation were included. Random-effects network meta-analyses estimated Hedges' g standardised mean differences (SMDs) and treatment rankings across four outcome domains. Confidence was assessed using the Confidence in Network Meta-Analysis framework. Results Twenty-one trials were included in the systematic review; 18 trials involving 1139 participants contributed to connected networks. Exercise improved clinician-rated swallowing compared with usual care (SMD 0.98, 95% confidence interval 0.28 to 1.69) and instrumental swallowing compared with telerehabilitation (SMD 1.24, 0.07 to 2.42). No other comparisons were statistically significant. Speech+ex ranked highest for clinician-rated outcomes, exercise for instrumental outcomes and NMES+ex for patient-reported quality of life and symptom/handicap outcomes. In sensitivity analyses separating exercise types, prophylactic exercise ranked highest for instrumental and quality-of-life outcomes. Confidence ranged from moderate to very low and was very low for all patient-reported comparisons. Conclusion Rehabilitation effects varied by outcome domain, with no consistently superior intervention. Exercise showed benefits for selected clinician-rated and instrumental outcomes, but sparse networks, imprecision and inconsistency limit certainty. These findings support individualised intervention selection and adequately powered trials using standardised outcomes.</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Access or request full text: </w:t>
      </w:r>
      <w:hyperlink r:id="rId47" w:tgtFrame="_blank" w:history="1">
        <w:r w:rsidRPr="000355F8">
          <w:rPr>
            <w:rFonts w:eastAsia="Times New Roman" w:cs="Arial"/>
            <w:color w:val="0066CC"/>
            <w:sz w:val="21"/>
            <w:szCs w:val="21"/>
            <w:lang w:eastAsia="en-GB"/>
          </w:rPr>
          <w:t>https://libkey.io/10.1177/02692155261487949</w:t>
        </w:r>
      </w:hyperlink>
    </w:p>
    <w:p w14:paraId="1B4989B5" w14:textId="5F4C6655" w:rsidR="000355F8" w:rsidRPr="000355F8" w:rsidRDefault="000355F8" w:rsidP="000355F8">
      <w:pPr>
        <w:shd w:val="clear" w:color="auto" w:fill="FFFFFF"/>
        <w:spacing w:after="173"/>
        <w:ind w:left="450" w:hanging="450"/>
        <w:rPr>
          <w:rFonts w:eastAsia="Times New Roman" w:cs="Arial"/>
          <w:color w:val="000000"/>
          <w:sz w:val="21"/>
          <w:szCs w:val="21"/>
          <w:lang w:eastAsia="en-GB"/>
        </w:rPr>
      </w:pPr>
      <w:r w:rsidRPr="000355F8">
        <w:rPr>
          <w:rFonts w:eastAsia="Times New Roman" w:cs="Arial"/>
          <w:color w:val="000000"/>
          <w:sz w:val="21"/>
          <w:szCs w:val="21"/>
          <w:lang w:eastAsia="en-GB"/>
        </w:rPr>
        <w:t xml:space="preserve">12. </w:t>
      </w:r>
      <w:r w:rsidRPr="000355F8">
        <w:rPr>
          <w:rFonts w:eastAsia="Times New Roman" w:cs="Arial"/>
          <w:b/>
          <w:bCs/>
          <w:color w:val="000000"/>
          <w:sz w:val="21"/>
          <w:szCs w:val="21"/>
          <w:lang w:eastAsia="en-GB"/>
        </w:rPr>
        <w:t>Twelve-Month Outcomes of a Preventive Dysphagia Intervention in Patients With Head and Neck Cancer-A Randomized Study.</w:t>
      </w:r>
      <w:r w:rsidRPr="000355F8">
        <w:rPr>
          <w:rFonts w:eastAsia="Times New Roman" w:cs="Arial"/>
          <w:b/>
          <w:bCs/>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Authors:</w:t>
      </w:r>
      <w:r w:rsidRPr="000355F8">
        <w:rPr>
          <w:rFonts w:eastAsia="Times New Roman" w:cs="Arial"/>
          <w:color w:val="000000"/>
          <w:sz w:val="21"/>
          <w:szCs w:val="21"/>
          <w:lang w:eastAsia="en-GB"/>
        </w:rPr>
        <w:t xml:space="preserve"> Petersson, Kerstin;Smith, Signe Rodseth;Johansson-Malmeling, Charlotte;Finizia, Caterina and Tuomi, Lisa</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Publication Date: </w:t>
      </w:r>
      <w:r w:rsidRPr="000355F8">
        <w:rPr>
          <w:rFonts w:eastAsia="Times New Roman" w:cs="Arial"/>
          <w:color w:val="000000"/>
          <w:sz w:val="21"/>
          <w:szCs w:val="21"/>
          <w:lang w:eastAsia="en-GB"/>
        </w:rPr>
        <w:t>2026</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Journal: </w:t>
      </w:r>
      <w:r w:rsidRPr="000355F8">
        <w:rPr>
          <w:rFonts w:eastAsia="Times New Roman" w:cs="Arial"/>
          <w:color w:val="000000"/>
          <w:sz w:val="21"/>
          <w:szCs w:val="21"/>
          <w:lang w:eastAsia="en-GB"/>
        </w:rPr>
        <w:t>Head &amp; Neck</w:t>
      </w:r>
      <w:r>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Abstract: BACKGROUND</w:t>
      </w:r>
      <w:r w:rsidRPr="000355F8">
        <w:rPr>
          <w:rFonts w:eastAsia="Times New Roman" w:cs="Arial"/>
          <w:color w:val="000000"/>
          <w:sz w:val="21"/>
          <w:szCs w:val="21"/>
          <w:lang w:eastAsia="en-GB"/>
        </w:rPr>
        <w:t xml:space="preserve">: Radiation-associated dysphagia is common after radiotherapy for head and neck cancer and may occur early or years later. The effect of preventive exercises might be undermined by poor adherence. </w:t>
      </w:r>
      <w:r w:rsidRPr="000355F8">
        <w:rPr>
          <w:rFonts w:eastAsia="Times New Roman" w:cs="Arial"/>
          <w:b/>
          <w:bCs/>
          <w:color w:val="000000"/>
          <w:sz w:val="21"/>
          <w:szCs w:val="21"/>
          <w:lang w:eastAsia="en-GB"/>
        </w:rPr>
        <w:t>AIM</w:t>
      </w:r>
      <w:r w:rsidRPr="000355F8">
        <w:rPr>
          <w:rFonts w:eastAsia="Times New Roman" w:cs="Arial"/>
          <w:color w:val="000000"/>
          <w:sz w:val="21"/>
          <w:szCs w:val="21"/>
          <w:lang w:eastAsia="en-GB"/>
        </w:rPr>
        <w:t xml:space="preserve">: To evaluate the effect of a simple preventive exercise protocol on swallowing function up to 12 months after radiotherapy. </w:t>
      </w:r>
      <w:r w:rsidRPr="000355F8">
        <w:rPr>
          <w:rFonts w:eastAsia="Times New Roman" w:cs="Arial"/>
          <w:b/>
          <w:bCs/>
          <w:color w:val="000000"/>
          <w:sz w:val="21"/>
          <w:szCs w:val="21"/>
          <w:lang w:eastAsia="en-GB"/>
        </w:rPr>
        <w:t>METHODS</w:t>
      </w:r>
      <w:r w:rsidRPr="000355F8">
        <w:rPr>
          <w:rFonts w:eastAsia="Times New Roman" w:cs="Arial"/>
          <w:color w:val="000000"/>
          <w:sz w:val="21"/>
          <w:szCs w:val="21"/>
          <w:lang w:eastAsia="en-GB"/>
        </w:rPr>
        <w:t xml:space="preserve">: Patients were randomized to an active group (n = 45) or control group (n = 44). The active group performed preventive exercises including the tongue hold exercise. Assessments were conducted before radiotherapy and at 1, 6, and 12 months post-treatment using the Penetration-Aspiration Scale, DIGEST-FEES, and the M. D. Anderson dysphagia inventory. </w:t>
      </w:r>
      <w:r w:rsidRPr="000355F8">
        <w:rPr>
          <w:rFonts w:eastAsia="Times New Roman" w:cs="Arial"/>
          <w:b/>
          <w:bCs/>
          <w:color w:val="000000"/>
          <w:sz w:val="21"/>
          <w:szCs w:val="21"/>
          <w:lang w:eastAsia="en-GB"/>
        </w:rPr>
        <w:t>RESULTS</w:t>
      </w:r>
      <w:r w:rsidRPr="000355F8">
        <w:rPr>
          <w:rFonts w:eastAsia="Times New Roman" w:cs="Arial"/>
          <w:color w:val="000000"/>
          <w:sz w:val="21"/>
          <w:szCs w:val="21"/>
          <w:lang w:eastAsia="en-GB"/>
        </w:rPr>
        <w:t xml:space="preserve">: No significant differences were found between groups. However, participants with &gt;= 75% adherence in the active group showed significantly less deterioration at 12 months on the penetration-aspiration scale. </w:t>
      </w:r>
      <w:r w:rsidRPr="000355F8">
        <w:rPr>
          <w:rFonts w:eastAsia="Times New Roman" w:cs="Arial"/>
          <w:b/>
          <w:bCs/>
          <w:color w:val="000000"/>
          <w:sz w:val="21"/>
          <w:szCs w:val="21"/>
          <w:lang w:eastAsia="en-GB"/>
        </w:rPr>
        <w:t>CONCLUSIONS</w:t>
      </w:r>
      <w:r w:rsidRPr="000355F8">
        <w:rPr>
          <w:rFonts w:eastAsia="Times New Roman" w:cs="Arial"/>
          <w:color w:val="000000"/>
          <w:sz w:val="21"/>
          <w:szCs w:val="21"/>
          <w:lang w:eastAsia="en-GB"/>
        </w:rPr>
        <w:t>: Overall, no significant effect on swallowing function was demonstrated. However, results indicate that high adherence reduces deterioration.</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t>Copyright © 2026 The Author(s). Head &amp; Neck published by Wiley Periodicals LLC.</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Access or request full text: </w:t>
      </w:r>
      <w:hyperlink r:id="rId48" w:tgtFrame="_blank" w:history="1">
        <w:r w:rsidRPr="000355F8">
          <w:rPr>
            <w:rFonts w:eastAsia="Times New Roman" w:cs="Arial"/>
            <w:color w:val="0066CC"/>
            <w:sz w:val="21"/>
            <w:szCs w:val="21"/>
            <w:lang w:eastAsia="en-GB"/>
          </w:rPr>
          <w:t>https://libkey.io/10.1002/hed.70407</w:t>
        </w:r>
      </w:hyperlink>
    </w:p>
    <w:p w14:paraId="6F34AB09" w14:textId="6F7E6743" w:rsidR="000355F8" w:rsidRPr="000355F8" w:rsidRDefault="000355F8" w:rsidP="000355F8">
      <w:pPr>
        <w:shd w:val="clear" w:color="auto" w:fill="FFFFFF"/>
        <w:spacing w:after="173"/>
        <w:ind w:left="450" w:hanging="450"/>
        <w:rPr>
          <w:rFonts w:eastAsia="Times New Roman" w:cs="Arial"/>
          <w:color w:val="000000"/>
          <w:sz w:val="21"/>
          <w:szCs w:val="21"/>
          <w:lang w:eastAsia="en-GB"/>
        </w:rPr>
      </w:pPr>
      <w:r w:rsidRPr="000355F8">
        <w:rPr>
          <w:rFonts w:eastAsia="Times New Roman" w:cs="Arial"/>
          <w:color w:val="000000"/>
          <w:sz w:val="21"/>
          <w:szCs w:val="21"/>
          <w:lang w:eastAsia="en-GB"/>
        </w:rPr>
        <w:lastRenderedPageBreak/>
        <w:t xml:space="preserve">13. </w:t>
      </w:r>
      <w:r w:rsidRPr="000355F8">
        <w:rPr>
          <w:rFonts w:eastAsia="Times New Roman" w:cs="Arial"/>
          <w:b/>
          <w:bCs/>
          <w:color w:val="000000"/>
          <w:sz w:val="21"/>
          <w:szCs w:val="21"/>
          <w:lang w:eastAsia="en-GB"/>
        </w:rPr>
        <w:t>Treatment With the Shaker Head-Lift Exercise in Head and Neck Cancer Patients With Radiation-Induced Dysphagia: 12-Month Results on Swallowing Function From a Randomized, Controlled Trial.</w:t>
      </w:r>
      <w:r w:rsidRPr="000355F8">
        <w:rPr>
          <w:rFonts w:eastAsia="Times New Roman" w:cs="Arial"/>
          <w:b/>
          <w:bCs/>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Authors:</w:t>
      </w:r>
      <w:r w:rsidRPr="000355F8">
        <w:rPr>
          <w:rFonts w:eastAsia="Times New Roman" w:cs="Arial"/>
          <w:color w:val="000000"/>
          <w:sz w:val="21"/>
          <w:szCs w:val="21"/>
          <w:lang w:eastAsia="en-GB"/>
        </w:rPr>
        <w:t xml:space="preserve"> Rodseth Smith, Signe;Finizia, Caterina;Petersson, Kerstin and Tuomi, Lisa</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Publication Date: </w:t>
      </w:r>
      <w:r w:rsidRPr="000355F8">
        <w:rPr>
          <w:rFonts w:eastAsia="Times New Roman" w:cs="Arial"/>
          <w:color w:val="000000"/>
          <w:sz w:val="21"/>
          <w:szCs w:val="21"/>
          <w:lang w:eastAsia="en-GB"/>
        </w:rPr>
        <w:t>2026</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Journal: </w:t>
      </w:r>
      <w:r w:rsidRPr="000355F8">
        <w:rPr>
          <w:rFonts w:eastAsia="Times New Roman" w:cs="Arial"/>
          <w:color w:val="000000"/>
          <w:sz w:val="21"/>
          <w:szCs w:val="21"/>
          <w:lang w:eastAsia="en-GB"/>
        </w:rPr>
        <w:t>Head &amp; Neck</w:t>
      </w:r>
      <w:r>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Abstract: BACKGROUND</w:t>
      </w:r>
      <w:r w:rsidRPr="000355F8">
        <w:rPr>
          <w:rFonts w:eastAsia="Times New Roman" w:cs="Arial"/>
          <w:color w:val="000000"/>
          <w:sz w:val="21"/>
          <w:szCs w:val="21"/>
          <w:lang w:eastAsia="en-GB"/>
        </w:rPr>
        <w:t xml:space="preserve">: Dysphagia is a common side-effect after radiotherapy in head and neck cancer patients. This randomized study aimed to evaluate the effect of the shaker head-lift exercise (HLE) after 12 months with flexible endoscopic evaluation of swallowing (FEES). </w:t>
      </w:r>
      <w:r w:rsidRPr="000355F8">
        <w:rPr>
          <w:rFonts w:eastAsia="Times New Roman" w:cs="Arial"/>
          <w:b/>
          <w:bCs/>
          <w:color w:val="000000"/>
          <w:sz w:val="21"/>
          <w:szCs w:val="21"/>
          <w:lang w:eastAsia="en-GB"/>
        </w:rPr>
        <w:t>METHODS</w:t>
      </w:r>
      <w:r w:rsidRPr="000355F8">
        <w:rPr>
          <w:rFonts w:eastAsia="Times New Roman" w:cs="Arial"/>
          <w:color w:val="000000"/>
          <w:sz w:val="21"/>
          <w:szCs w:val="21"/>
          <w:lang w:eastAsia="en-GB"/>
        </w:rPr>
        <w:t xml:space="preserve">: Patients were randomly assigned to the intervention (n = 30) or the control (n = 31) group. The primary outcome was change according to the Penetration Aspiration Scale (PAS) at 12 months. Secondary outcomes included change according to the dynamic imaging grade of swallowing toxicity for flexible endoscopic evaluation of swallowing (DIGEST-FEES) at 8 weeks and 12 months. </w:t>
      </w:r>
      <w:r w:rsidRPr="000355F8">
        <w:rPr>
          <w:rFonts w:eastAsia="Times New Roman" w:cs="Arial"/>
          <w:b/>
          <w:bCs/>
          <w:color w:val="000000"/>
          <w:sz w:val="21"/>
          <w:szCs w:val="21"/>
          <w:lang w:eastAsia="en-GB"/>
        </w:rPr>
        <w:t>RESULTS</w:t>
      </w:r>
      <w:r w:rsidRPr="000355F8">
        <w:rPr>
          <w:rFonts w:eastAsia="Times New Roman" w:cs="Arial"/>
          <w:color w:val="000000"/>
          <w:sz w:val="21"/>
          <w:szCs w:val="21"/>
          <w:lang w:eastAsia="en-GB"/>
        </w:rPr>
        <w:t xml:space="preserve">: The intention-to-treat analysis revealed no significant difference between the intervention and control groups regarding the change in the PAS score from baseline to 12 months. Swallowing safety improved significantly in the control group at the 8-week follow-up. </w:t>
      </w:r>
      <w:r w:rsidRPr="000355F8">
        <w:rPr>
          <w:rFonts w:eastAsia="Times New Roman" w:cs="Arial"/>
          <w:b/>
          <w:bCs/>
          <w:color w:val="000000"/>
          <w:sz w:val="21"/>
          <w:szCs w:val="21"/>
          <w:lang w:eastAsia="en-GB"/>
        </w:rPr>
        <w:t>CONCLUSIONS</w:t>
      </w:r>
      <w:r w:rsidRPr="000355F8">
        <w:rPr>
          <w:rFonts w:eastAsia="Times New Roman" w:cs="Arial"/>
          <w:color w:val="000000"/>
          <w:sz w:val="21"/>
          <w:szCs w:val="21"/>
          <w:lang w:eastAsia="en-GB"/>
        </w:rPr>
        <w:t>: The HLE does not seem to improve swallowing function in individuals with radiation-induced dysphagia.</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t>Copyright © 2026 The Author(s). Head &amp; Neck published by Wiley Periodicals LLC.</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Access or request full text: </w:t>
      </w:r>
      <w:hyperlink r:id="rId49" w:tgtFrame="_blank" w:history="1">
        <w:r w:rsidRPr="000355F8">
          <w:rPr>
            <w:rFonts w:eastAsia="Times New Roman" w:cs="Arial"/>
            <w:color w:val="0066CC"/>
            <w:sz w:val="21"/>
            <w:szCs w:val="21"/>
            <w:lang w:eastAsia="en-GB"/>
          </w:rPr>
          <w:t>https://libkey.io/10.1002/hed.70352</w:t>
        </w:r>
      </w:hyperlink>
    </w:p>
    <w:p w14:paraId="529260A5" w14:textId="1229FA92" w:rsidR="000355F8" w:rsidRPr="000355F8" w:rsidRDefault="000355F8" w:rsidP="000355F8">
      <w:pPr>
        <w:shd w:val="clear" w:color="auto" w:fill="FFFFFF"/>
        <w:spacing w:after="173"/>
        <w:ind w:left="450" w:hanging="450"/>
        <w:rPr>
          <w:rFonts w:eastAsia="Times New Roman" w:cs="Arial"/>
          <w:color w:val="000000"/>
          <w:sz w:val="21"/>
          <w:szCs w:val="21"/>
          <w:lang w:eastAsia="en-GB"/>
        </w:rPr>
      </w:pPr>
      <w:r w:rsidRPr="000355F8">
        <w:rPr>
          <w:rFonts w:eastAsia="Times New Roman" w:cs="Arial"/>
          <w:color w:val="000000"/>
          <w:sz w:val="21"/>
          <w:szCs w:val="21"/>
          <w:lang w:eastAsia="en-GB"/>
        </w:rPr>
        <w:t xml:space="preserve">14. </w:t>
      </w:r>
      <w:r w:rsidRPr="000355F8">
        <w:rPr>
          <w:rFonts w:eastAsia="Times New Roman" w:cs="Arial"/>
          <w:b/>
          <w:bCs/>
          <w:color w:val="000000"/>
          <w:sz w:val="21"/>
          <w:szCs w:val="21"/>
          <w:lang w:eastAsia="en-GB"/>
        </w:rPr>
        <w:t>Barriers and Enablers to Nurses Routinely Screening for Oropharyngeal Dysphagia in Hospitalised Older Adults: An Evidence Synthesis of Qualitative Studies</w:t>
      </w:r>
      <w:r w:rsidRPr="000355F8">
        <w:rPr>
          <w:rFonts w:eastAsia="Times New Roman" w:cs="Arial"/>
          <w:b/>
          <w:bCs/>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Authors:</w:t>
      </w:r>
      <w:r w:rsidRPr="000355F8">
        <w:rPr>
          <w:rFonts w:eastAsia="Times New Roman" w:cs="Arial"/>
          <w:color w:val="000000"/>
          <w:sz w:val="21"/>
          <w:szCs w:val="21"/>
          <w:lang w:eastAsia="en-GB"/>
        </w:rPr>
        <w:t xml:space="preserve"> Smith, Caroline;Bernhardt, Lizelle;Birt, Linda;Clark, Allan;Hansjee, Dharinee;Manning, Joseph C.;MacDiarmid, Lynn;Parmar, Paresh;Robertson, Noelle and Wright, David</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Publication Date: </w:t>
      </w:r>
      <w:r w:rsidRPr="000355F8">
        <w:rPr>
          <w:rFonts w:eastAsia="Times New Roman" w:cs="Arial"/>
          <w:color w:val="000000"/>
          <w:sz w:val="21"/>
          <w:szCs w:val="21"/>
          <w:lang w:eastAsia="en-GB"/>
        </w:rPr>
        <w:t>2026</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Journal: </w:t>
      </w:r>
      <w:r w:rsidRPr="000355F8">
        <w:rPr>
          <w:rFonts w:eastAsia="Times New Roman" w:cs="Arial"/>
          <w:color w:val="000000"/>
          <w:sz w:val="21"/>
          <w:szCs w:val="21"/>
          <w:lang w:eastAsia="en-GB"/>
        </w:rPr>
        <w:t>Journal of Advanced Nursing</w:t>
      </w:r>
      <w:r>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Abstract: AIM</w:t>
      </w:r>
      <w:r w:rsidRPr="000355F8">
        <w:rPr>
          <w:rFonts w:eastAsia="Times New Roman" w:cs="Arial"/>
          <w:color w:val="000000"/>
          <w:sz w:val="21"/>
          <w:szCs w:val="21"/>
          <w:lang w:eastAsia="en-GB"/>
        </w:rPr>
        <w:t xml:space="preserve">: To identify and describe the barriers and enablers to nurses routinely screening for dysphagia in hospital and map these to domains in the Theoretical Domains Framework. </w:t>
      </w:r>
      <w:r w:rsidRPr="000355F8">
        <w:rPr>
          <w:rFonts w:eastAsia="Times New Roman" w:cs="Arial"/>
          <w:b/>
          <w:bCs/>
          <w:color w:val="000000"/>
          <w:sz w:val="21"/>
          <w:szCs w:val="21"/>
          <w:lang w:eastAsia="en-GB"/>
        </w:rPr>
        <w:t>DESIGN</w:t>
      </w:r>
      <w:r w:rsidRPr="000355F8">
        <w:rPr>
          <w:rFonts w:eastAsia="Times New Roman" w:cs="Arial"/>
          <w:color w:val="000000"/>
          <w:sz w:val="21"/>
          <w:szCs w:val="21"/>
          <w:lang w:eastAsia="en-GB"/>
        </w:rPr>
        <w:t xml:space="preserve">: Systematic review with meta-ethnography. </w:t>
      </w:r>
      <w:r w:rsidRPr="000355F8">
        <w:rPr>
          <w:rFonts w:eastAsia="Times New Roman" w:cs="Arial"/>
          <w:b/>
          <w:bCs/>
          <w:color w:val="000000"/>
          <w:sz w:val="21"/>
          <w:szCs w:val="21"/>
          <w:lang w:eastAsia="en-GB"/>
        </w:rPr>
        <w:t>DATA BASE SOURCES</w:t>
      </w:r>
      <w:r w:rsidRPr="000355F8">
        <w:rPr>
          <w:rFonts w:eastAsia="Times New Roman" w:cs="Arial"/>
          <w:color w:val="000000"/>
          <w:sz w:val="21"/>
          <w:szCs w:val="21"/>
          <w:lang w:eastAsia="en-GB"/>
        </w:rPr>
        <w:t xml:space="preserve">: CINAHL, Embase, PubMed, Scopus, Clinical Trials and World Health Organisation trials registry (database inception to November 2024). </w:t>
      </w:r>
      <w:r w:rsidRPr="000355F8">
        <w:rPr>
          <w:rFonts w:eastAsia="Times New Roman" w:cs="Arial"/>
          <w:b/>
          <w:bCs/>
          <w:color w:val="000000"/>
          <w:sz w:val="21"/>
          <w:szCs w:val="21"/>
          <w:lang w:eastAsia="en-GB"/>
        </w:rPr>
        <w:t>METHODS</w:t>
      </w:r>
      <w:r w:rsidRPr="000355F8">
        <w:rPr>
          <w:rFonts w:eastAsia="Times New Roman" w:cs="Arial"/>
          <w:color w:val="000000"/>
          <w:sz w:val="21"/>
          <w:szCs w:val="21"/>
          <w:lang w:eastAsia="en-GB"/>
        </w:rPr>
        <w:t xml:space="preserve">: The review protocol was registered on PROSPERO (CRD42024608080). Studies set in stroke and older adult wards were included. Data were coded as barriers or enablers, mapped to the original authors' themes and then synthesised into higher-level themes. Barrier and enabler codes were also mapped to domains in the Theoretical Domains Framework. </w:t>
      </w:r>
      <w:r w:rsidRPr="000355F8">
        <w:rPr>
          <w:rFonts w:eastAsia="Times New Roman" w:cs="Arial"/>
          <w:b/>
          <w:bCs/>
          <w:color w:val="000000"/>
          <w:sz w:val="21"/>
          <w:szCs w:val="21"/>
          <w:lang w:eastAsia="en-GB"/>
        </w:rPr>
        <w:t>RESULTS</w:t>
      </w:r>
      <w:r w:rsidRPr="000355F8">
        <w:rPr>
          <w:rFonts w:eastAsia="Times New Roman" w:cs="Arial"/>
          <w:color w:val="000000"/>
          <w:sz w:val="21"/>
          <w:szCs w:val="21"/>
          <w:lang w:eastAsia="en-GB"/>
        </w:rPr>
        <w:t xml:space="preserve">: From 6750 studies identified, six were included. None of the included papers were conducted in an older adult ward setting. Four high-level themes were developed: (i) The surrounding environment, (ii) Variation in practice, (iii) Influence of knowledge and skills, and (iv) The value of dysphagia screening. Identified barriers and enablers were predominantly mapped to 'Environmental context and resources,' 'Knowledge,' 'Beliefs about capabilities' and 'Beliefs about consequences' Theoretical Domains Framework domains. </w:t>
      </w:r>
      <w:r w:rsidRPr="000355F8">
        <w:rPr>
          <w:rFonts w:eastAsia="Times New Roman" w:cs="Arial"/>
          <w:b/>
          <w:bCs/>
          <w:color w:val="000000"/>
          <w:sz w:val="21"/>
          <w:szCs w:val="21"/>
          <w:lang w:eastAsia="en-GB"/>
        </w:rPr>
        <w:t>CONCLUSIONS</w:t>
      </w:r>
      <w:r w:rsidRPr="000355F8">
        <w:rPr>
          <w:rFonts w:eastAsia="Times New Roman" w:cs="Arial"/>
          <w:color w:val="000000"/>
          <w:sz w:val="21"/>
          <w:szCs w:val="21"/>
          <w:lang w:eastAsia="en-GB"/>
        </w:rPr>
        <w:t xml:space="preserve">: For successful dysphagia screening, nurses require adequate training, a standardised screening tool and sufficient environmental support. Further work is required to contextualise these findings specifically to older adult ward settings. </w:t>
      </w:r>
      <w:r w:rsidRPr="000355F8">
        <w:rPr>
          <w:rFonts w:eastAsia="Times New Roman" w:cs="Arial"/>
          <w:b/>
          <w:bCs/>
          <w:color w:val="000000"/>
          <w:sz w:val="21"/>
          <w:szCs w:val="21"/>
          <w:lang w:eastAsia="en-GB"/>
        </w:rPr>
        <w:t>IMPACT</w:t>
      </w:r>
      <w:r w:rsidRPr="000355F8">
        <w:rPr>
          <w:rFonts w:eastAsia="Times New Roman" w:cs="Arial"/>
          <w:color w:val="000000"/>
          <w:sz w:val="21"/>
          <w:szCs w:val="21"/>
          <w:lang w:eastAsia="en-GB"/>
        </w:rPr>
        <w:t xml:space="preserve">: To introduce routine nurse screening for dysphagia into different contexts, this paper provides guidance on how to set up and create </w:t>
      </w:r>
      <w:r w:rsidRPr="000355F8">
        <w:rPr>
          <w:rFonts w:eastAsia="Times New Roman" w:cs="Arial"/>
          <w:color w:val="000000"/>
          <w:sz w:val="21"/>
          <w:szCs w:val="21"/>
          <w:lang w:eastAsia="en-GB"/>
        </w:rPr>
        <w:lastRenderedPageBreak/>
        <w:t xml:space="preserve">a theory informed service. Mapping of barriers and enablers to the Theoretical Domains Framework can facilitate the development of a behaviour change intervention through the framework's linkage to a taxonomy of behaviour changes strategies. </w:t>
      </w:r>
      <w:r w:rsidRPr="000355F8">
        <w:rPr>
          <w:rFonts w:eastAsia="Times New Roman" w:cs="Arial"/>
          <w:b/>
          <w:bCs/>
          <w:color w:val="000000"/>
          <w:sz w:val="21"/>
          <w:szCs w:val="21"/>
          <w:lang w:eastAsia="en-GB"/>
        </w:rPr>
        <w:t>REPORTING METHOD</w:t>
      </w:r>
      <w:r w:rsidRPr="000355F8">
        <w:rPr>
          <w:rFonts w:eastAsia="Times New Roman" w:cs="Arial"/>
          <w:color w:val="000000"/>
          <w:sz w:val="21"/>
          <w:szCs w:val="21"/>
          <w:lang w:eastAsia="en-GB"/>
        </w:rPr>
        <w:t xml:space="preserve">: ENhancing Transparency in REporting the synthesis of Qualitative research. </w:t>
      </w:r>
      <w:r w:rsidRPr="000355F8">
        <w:rPr>
          <w:rFonts w:eastAsia="Times New Roman" w:cs="Arial"/>
          <w:b/>
          <w:bCs/>
          <w:color w:val="000000"/>
          <w:sz w:val="21"/>
          <w:szCs w:val="21"/>
          <w:lang w:eastAsia="en-GB"/>
        </w:rPr>
        <w:t>PATIENT OR PUBLIC CONTRIBUTION</w:t>
      </w:r>
      <w:r w:rsidRPr="000355F8">
        <w:rPr>
          <w:rFonts w:eastAsia="Times New Roman" w:cs="Arial"/>
          <w:color w:val="000000"/>
          <w:sz w:val="21"/>
          <w:szCs w:val="21"/>
          <w:lang w:eastAsia="en-GB"/>
        </w:rPr>
        <w:t xml:space="preserve">: Patient and public involvement focused on interpretation of findings, ensuring the review identified patient-relevant priorities. </w:t>
      </w:r>
      <w:r w:rsidRPr="000355F8">
        <w:rPr>
          <w:rFonts w:eastAsia="Times New Roman" w:cs="Arial"/>
          <w:b/>
          <w:bCs/>
          <w:color w:val="000000"/>
          <w:sz w:val="21"/>
          <w:szCs w:val="21"/>
          <w:lang w:eastAsia="en-GB"/>
        </w:rPr>
        <w:t>TRIAL REGISTRATION</w:t>
      </w:r>
      <w:r w:rsidRPr="000355F8">
        <w:rPr>
          <w:rFonts w:eastAsia="Times New Roman" w:cs="Arial"/>
          <w:color w:val="000000"/>
          <w:sz w:val="21"/>
          <w:szCs w:val="21"/>
          <w:lang w:eastAsia="en-GB"/>
        </w:rPr>
        <w:t>: PROSPERO registration number: CRD42024608080.</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t>Copyright © 2026 The Author(s). Journal of Advanced Nursing published by John Wiley &amp; Sons Ltd.</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Access or request full text: </w:t>
      </w:r>
      <w:hyperlink r:id="rId50" w:tgtFrame="_blank" w:history="1">
        <w:r w:rsidRPr="000355F8">
          <w:rPr>
            <w:rFonts w:eastAsia="Times New Roman" w:cs="Arial"/>
            <w:color w:val="0066CC"/>
            <w:sz w:val="21"/>
            <w:szCs w:val="21"/>
            <w:lang w:eastAsia="en-GB"/>
          </w:rPr>
          <w:t>https://libkey.io/10.1111/jan.70749</w:t>
        </w:r>
      </w:hyperlink>
    </w:p>
    <w:p w14:paraId="549274D4" w14:textId="0E19E319" w:rsidR="000355F8" w:rsidRPr="000355F8" w:rsidRDefault="000355F8" w:rsidP="000355F8">
      <w:pPr>
        <w:shd w:val="clear" w:color="auto" w:fill="FFFFFF"/>
        <w:spacing w:after="173"/>
        <w:ind w:left="450" w:hanging="450"/>
        <w:rPr>
          <w:rFonts w:eastAsia="Times New Roman" w:cs="Arial"/>
          <w:color w:val="000000"/>
          <w:sz w:val="21"/>
          <w:szCs w:val="21"/>
          <w:lang w:eastAsia="en-GB"/>
        </w:rPr>
      </w:pPr>
      <w:r w:rsidRPr="000355F8">
        <w:rPr>
          <w:rFonts w:eastAsia="Times New Roman" w:cs="Arial"/>
          <w:color w:val="000000"/>
          <w:sz w:val="21"/>
          <w:szCs w:val="21"/>
          <w:lang w:eastAsia="en-GB"/>
        </w:rPr>
        <w:t xml:space="preserve">15. </w:t>
      </w:r>
      <w:r w:rsidRPr="000355F8">
        <w:rPr>
          <w:rFonts w:eastAsia="Times New Roman" w:cs="Arial"/>
          <w:b/>
          <w:bCs/>
          <w:color w:val="000000"/>
          <w:sz w:val="21"/>
          <w:szCs w:val="21"/>
          <w:lang w:eastAsia="en-GB"/>
        </w:rPr>
        <w:t>Nicergoline for Neuromuscular Oropharyngeal Dysphagia: A Double-Blind, Placebo-Controlled Randomized Trial.</w:t>
      </w:r>
      <w:r w:rsidRPr="000355F8">
        <w:rPr>
          <w:rFonts w:eastAsia="Times New Roman" w:cs="Arial"/>
          <w:b/>
          <w:bCs/>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Authors:</w:t>
      </w:r>
      <w:r w:rsidRPr="000355F8">
        <w:rPr>
          <w:rFonts w:eastAsia="Times New Roman" w:cs="Arial"/>
          <w:color w:val="000000"/>
          <w:sz w:val="21"/>
          <w:szCs w:val="21"/>
          <w:lang w:eastAsia="en-GB"/>
        </w:rPr>
        <w:t xml:space="preserve"> Wongwarawanith, Pittayut;Keskool, Phawin;Ongard, Sunun;Chanachai, Sasalaksamon and Jariyakhunphanya, Jitima</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Publication Date: </w:t>
      </w:r>
      <w:r w:rsidRPr="000355F8">
        <w:rPr>
          <w:rFonts w:eastAsia="Times New Roman" w:cs="Arial"/>
          <w:color w:val="000000"/>
          <w:sz w:val="21"/>
          <w:szCs w:val="21"/>
          <w:lang w:eastAsia="en-GB"/>
        </w:rPr>
        <w:t>2026</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Journal: </w:t>
      </w:r>
      <w:r w:rsidRPr="000355F8">
        <w:rPr>
          <w:rFonts w:eastAsia="Times New Roman" w:cs="Arial"/>
          <w:color w:val="000000"/>
          <w:sz w:val="21"/>
          <w:szCs w:val="21"/>
          <w:lang w:eastAsia="en-GB"/>
        </w:rPr>
        <w:t>Dysphagia</w:t>
      </w:r>
      <w:r>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Abstract: </w:t>
      </w:r>
      <w:r w:rsidRPr="000355F8">
        <w:rPr>
          <w:rFonts w:eastAsia="Times New Roman" w:cs="Arial"/>
          <w:color w:val="000000"/>
          <w:sz w:val="21"/>
          <w:szCs w:val="21"/>
          <w:lang w:eastAsia="en-GB"/>
        </w:rPr>
        <w:t>Neuromuscular oropharyngeal dysphagia impairs the coordinated neurologic and muscular mechanisms of deglutition, predisposing patients to aspiration pneumonia, malnutrition, and diminished quality of life. Substance P participates in the swallow reflex; nicergoline, an ergot derivative, increases substance P concentrations, yet its therapeutic effect on dysphagia remains uncertain. We conducted a double-blind, randomized, placebo-controlled trial to determine whether nicergoline improves swallow function, quantified by the visual analog scale and flexible endoscopic evaluation of swallowing. Forty-four patients with neuromuscular oropharyngeal dysphagia were randomized to receive nicergoline 30 mg daily (n = 21) or matched placebo (n = 23) for 4 weeks. Baseline and week-4 visual analog scale scores, flexible endoscopic evaluation of swallowing scores, and penetration-aspiration scale ratings were compared within and between groups. Thirty-eight participants completed the study (nicergoline n = 19; placebo n = 19). Changes in visual analog scale and flexible endoscopic evaluation scores did not differ significantly between groups. However, nicergoline produced a statistically significant reduction in penetration-aspiration scale score, indicating enhanced airway protection during swallowing. These data suggest that nicergoline augments swallow safety in neuromuscular oropharyngeal dysphagia and may offer a therapeutic option for its management.</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t>Copyright © 2026. The Author(s).</w:t>
      </w:r>
      <w:r w:rsidRPr="000355F8">
        <w:rPr>
          <w:rFonts w:eastAsia="Times New Roman" w:cs="Arial"/>
          <w:color w:val="000000"/>
          <w:sz w:val="21"/>
          <w:szCs w:val="21"/>
          <w:lang w:eastAsia="en-GB"/>
        </w:rPr>
        <w:br/>
      </w:r>
      <w:r w:rsidRPr="000355F8">
        <w:rPr>
          <w:rFonts w:eastAsia="Times New Roman" w:cs="Arial"/>
          <w:color w:val="000000"/>
          <w:sz w:val="21"/>
          <w:szCs w:val="21"/>
          <w:lang w:eastAsia="en-GB"/>
        </w:rPr>
        <w:br/>
      </w:r>
      <w:r w:rsidRPr="000355F8">
        <w:rPr>
          <w:rFonts w:eastAsia="Times New Roman" w:cs="Arial"/>
          <w:b/>
          <w:bCs/>
          <w:color w:val="000000"/>
          <w:sz w:val="21"/>
          <w:szCs w:val="21"/>
          <w:lang w:eastAsia="en-GB"/>
        </w:rPr>
        <w:t xml:space="preserve">Access or request full text: </w:t>
      </w:r>
      <w:hyperlink r:id="rId51" w:tgtFrame="_blank" w:history="1">
        <w:r w:rsidRPr="000355F8">
          <w:rPr>
            <w:rFonts w:eastAsia="Times New Roman" w:cs="Arial"/>
            <w:color w:val="0066CC"/>
            <w:sz w:val="21"/>
            <w:szCs w:val="21"/>
            <w:lang w:eastAsia="en-GB"/>
          </w:rPr>
          <w:t>https://libkey.io/10.1007/s00455-026-11003-9</w:t>
        </w:r>
      </w:hyperlink>
    </w:p>
    <w:p w14:paraId="0B4A9345" w14:textId="1198CF85" w:rsidR="00DD6D1E" w:rsidRDefault="000355F8" w:rsidP="000355F8">
      <w:pPr>
        <w:pStyle w:val="Default"/>
        <w:rPr>
          <w:b/>
          <w:bCs/>
          <w:sz w:val="20"/>
          <w:szCs w:val="22"/>
        </w:rPr>
      </w:pPr>
      <w:r w:rsidRPr="000355F8">
        <w:rPr>
          <w:rFonts w:eastAsia="Times New Roman"/>
          <w:sz w:val="21"/>
          <w:szCs w:val="21"/>
          <w:lang w:eastAsia="en-GB"/>
        </w:rPr>
        <w:br/>
      </w:r>
      <w:r w:rsidRPr="000355F8">
        <w:rPr>
          <w:rFonts w:eastAsia="Times New Roman"/>
          <w:i/>
          <w:iCs/>
          <w:sz w:val="21"/>
          <w:szCs w:val="21"/>
          <w:shd w:val="clear" w:color="auto" w:fill="FFFFFF"/>
          <w:lang w:eastAsia="en-GB"/>
        </w:rPr>
        <w:t xml:space="preserve">You will need your </w:t>
      </w:r>
      <w:hyperlink r:id="rId52" w:history="1">
        <w:r w:rsidRPr="000355F8">
          <w:rPr>
            <w:rFonts w:eastAsia="Times New Roman"/>
            <w:i/>
            <w:iCs/>
            <w:color w:val="0066CC"/>
            <w:sz w:val="21"/>
            <w:szCs w:val="21"/>
            <w:lang w:eastAsia="en-GB"/>
          </w:rPr>
          <w:t>NHS OpenAthens account</w:t>
        </w:r>
      </w:hyperlink>
      <w:r w:rsidRPr="000355F8">
        <w:rPr>
          <w:rFonts w:eastAsia="Times New Roman"/>
          <w:i/>
          <w:iCs/>
          <w:sz w:val="21"/>
          <w:szCs w:val="21"/>
          <w:shd w:val="clear" w:color="auto" w:fill="FFFFFF"/>
          <w:lang w:eastAsia="en-GB"/>
        </w:rPr>
        <w:t xml:space="preserve"> to access the full text of licenced content.</w:t>
      </w:r>
      <w:r w:rsidRPr="000355F8">
        <w:rPr>
          <w:rFonts w:eastAsia="Times New Roman"/>
          <w:sz w:val="21"/>
          <w:szCs w:val="21"/>
          <w:lang w:eastAsia="en-GB"/>
        </w:rPr>
        <w:br/>
      </w:r>
      <w:r w:rsidRPr="000355F8">
        <w:rPr>
          <w:rFonts w:eastAsia="Times New Roman"/>
          <w:i/>
          <w:iCs/>
          <w:sz w:val="21"/>
          <w:szCs w:val="21"/>
          <w:shd w:val="clear" w:color="auto" w:fill="FFFFFF"/>
          <w:lang w:eastAsia="en-GB"/>
        </w:rPr>
        <w:t>This service is provided to the NHS in England by NHSE Workforce, Training &amp; Education.</w:t>
      </w:r>
    </w:p>
    <w:p w14:paraId="470063AE" w14:textId="77777777" w:rsidR="00DD6D1E" w:rsidRDefault="00E530FB" w:rsidP="003E7AE2">
      <w:pPr>
        <w:pStyle w:val="Heading1"/>
      </w:pPr>
      <w:bookmarkStart w:id="3" w:name="_Toc242972422"/>
      <w:r>
        <w:t>Videofluoroscopy</w:t>
      </w:r>
      <w:bookmarkEnd w:id="3"/>
    </w:p>
    <w:p w14:paraId="02297AE0" w14:textId="15D0A16A" w:rsidR="00605C9A" w:rsidRPr="00605C9A" w:rsidRDefault="00605C9A" w:rsidP="00605C9A">
      <w:pPr>
        <w:shd w:val="clear" w:color="auto" w:fill="FFFFFF"/>
        <w:spacing w:after="173"/>
        <w:ind w:left="450" w:hanging="450"/>
        <w:rPr>
          <w:rFonts w:eastAsia="Times New Roman" w:cs="Arial"/>
          <w:color w:val="000000"/>
          <w:sz w:val="21"/>
          <w:szCs w:val="21"/>
          <w:lang w:eastAsia="en-GB"/>
        </w:rPr>
      </w:pPr>
      <w:r w:rsidRPr="00605C9A">
        <w:rPr>
          <w:rFonts w:eastAsia="Times New Roman" w:cs="Arial"/>
          <w:color w:val="000000"/>
          <w:sz w:val="21"/>
          <w:szCs w:val="21"/>
          <w:lang w:eastAsia="en-GB"/>
        </w:rPr>
        <w:t xml:space="preserve">1. </w:t>
      </w:r>
      <w:r w:rsidRPr="00605C9A">
        <w:rPr>
          <w:rFonts w:eastAsia="Times New Roman" w:cs="Arial"/>
          <w:b/>
          <w:bCs/>
          <w:color w:val="000000"/>
          <w:sz w:val="21"/>
          <w:szCs w:val="21"/>
          <w:lang w:eastAsia="en-GB"/>
        </w:rPr>
        <w:t>SPARNet: A Framework for Airway Invasion Tracking from Fluoroscopic Videos of Dysphagia Patients.</w:t>
      </w:r>
      <w:r w:rsidRPr="00605C9A">
        <w:rPr>
          <w:rFonts w:eastAsia="Times New Roman" w:cs="Arial"/>
          <w:b/>
          <w:bCs/>
          <w:color w:val="000000"/>
          <w:sz w:val="21"/>
          <w:szCs w:val="21"/>
          <w:lang w:eastAsia="en-GB"/>
        </w:rPr>
        <w:br/>
      </w:r>
      <w:r w:rsidRPr="00605C9A">
        <w:rPr>
          <w:rFonts w:eastAsia="Times New Roman" w:cs="Arial"/>
          <w:color w:val="000000"/>
          <w:sz w:val="21"/>
          <w:szCs w:val="21"/>
          <w:lang w:eastAsia="en-GB"/>
        </w:rPr>
        <w:br/>
      </w:r>
      <w:r w:rsidRPr="00605C9A">
        <w:rPr>
          <w:rFonts w:eastAsia="Times New Roman" w:cs="Arial"/>
          <w:b/>
          <w:bCs/>
          <w:color w:val="000000"/>
          <w:sz w:val="21"/>
          <w:szCs w:val="21"/>
          <w:lang w:eastAsia="en-GB"/>
        </w:rPr>
        <w:t>Authors:</w:t>
      </w:r>
      <w:r w:rsidRPr="00605C9A">
        <w:rPr>
          <w:rFonts w:eastAsia="Times New Roman" w:cs="Arial"/>
          <w:color w:val="000000"/>
          <w:sz w:val="21"/>
          <w:szCs w:val="21"/>
          <w:lang w:eastAsia="en-GB"/>
        </w:rPr>
        <w:t xml:space="preserve"> G, Sanjeevi;Gopalakrishnan, Uma;Pathinarupothi, Rahul Krishnan;Cj, Arya;Talukdar, Kaustuv M.;Iyer, Subramania and Achuthan, Srisairam</w:t>
      </w:r>
      <w:r w:rsidRPr="00605C9A">
        <w:rPr>
          <w:rFonts w:eastAsia="Times New Roman" w:cs="Arial"/>
          <w:color w:val="000000"/>
          <w:sz w:val="21"/>
          <w:szCs w:val="21"/>
          <w:lang w:eastAsia="en-GB"/>
        </w:rPr>
        <w:br/>
      </w:r>
      <w:r w:rsidRPr="00605C9A">
        <w:rPr>
          <w:rFonts w:eastAsia="Times New Roman" w:cs="Arial"/>
          <w:color w:val="000000"/>
          <w:sz w:val="21"/>
          <w:szCs w:val="21"/>
          <w:lang w:eastAsia="en-GB"/>
        </w:rPr>
        <w:br/>
      </w:r>
      <w:r w:rsidRPr="00605C9A">
        <w:rPr>
          <w:rFonts w:eastAsia="Times New Roman" w:cs="Arial"/>
          <w:b/>
          <w:bCs/>
          <w:color w:val="000000"/>
          <w:sz w:val="21"/>
          <w:szCs w:val="21"/>
          <w:lang w:eastAsia="en-GB"/>
        </w:rPr>
        <w:t xml:space="preserve">Publication Date: </w:t>
      </w:r>
      <w:r w:rsidRPr="00605C9A">
        <w:rPr>
          <w:rFonts w:eastAsia="Times New Roman" w:cs="Arial"/>
          <w:color w:val="000000"/>
          <w:sz w:val="21"/>
          <w:szCs w:val="21"/>
          <w:lang w:eastAsia="en-GB"/>
        </w:rPr>
        <w:t>May 19 ,2026</w:t>
      </w:r>
      <w:r w:rsidRPr="00605C9A">
        <w:rPr>
          <w:rFonts w:eastAsia="Times New Roman" w:cs="Arial"/>
          <w:color w:val="000000"/>
          <w:sz w:val="21"/>
          <w:szCs w:val="21"/>
          <w:lang w:eastAsia="en-GB"/>
        </w:rPr>
        <w:br/>
      </w:r>
      <w:r w:rsidRPr="00605C9A">
        <w:rPr>
          <w:rFonts w:eastAsia="Times New Roman" w:cs="Arial"/>
          <w:color w:val="000000"/>
          <w:sz w:val="21"/>
          <w:szCs w:val="21"/>
          <w:lang w:eastAsia="en-GB"/>
        </w:rPr>
        <w:lastRenderedPageBreak/>
        <w:br/>
      </w:r>
      <w:r w:rsidRPr="00605C9A">
        <w:rPr>
          <w:rFonts w:eastAsia="Times New Roman" w:cs="Arial"/>
          <w:b/>
          <w:bCs/>
          <w:color w:val="000000"/>
          <w:sz w:val="21"/>
          <w:szCs w:val="21"/>
          <w:lang w:eastAsia="en-GB"/>
        </w:rPr>
        <w:t xml:space="preserve">Journal: </w:t>
      </w:r>
      <w:r w:rsidRPr="00605C9A">
        <w:rPr>
          <w:rFonts w:eastAsia="Times New Roman" w:cs="Arial"/>
          <w:color w:val="000000"/>
          <w:sz w:val="21"/>
          <w:szCs w:val="21"/>
          <w:lang w:eastAsia="en-GB"/>
        </w:rPr>
        <w:t>IEEE Journal of Biomedical &amp; Health Informatics</w:t>
      </w:r>
      <w:r>
        <w:rPr>
          <w:rFonts w:eastAsia="Times New Roman" w:cs="Arial"/>
          <w:color w:val="000000"/>
          <w:sz w:val="21"/>
          <w:szCs w:val="21"/>
          <w:lang w:eastAsia="en-GB"/>
        </w:rPr>
        <w:br/>
      </w:r>
      <w:r w:rsidRPr="00605C9A">
        <w:rPr>
          <w:rFonts w:eastAsia="Times New Roman" w:cs="Arial"/>
          <w:color w:val="000000"/>
          <w:sz w:val="21"/>
          <w:szCs w:val="21"/>
          <w:lang w:eastAsia="en-GB"/>
        </w:rPr>
        <w:br/>
      </w:r>
      <w:r w:rsidRPr="00605C9A">
        <w:rPr>
          <w:rFonts w:eastAsia="Times New Roman" w:cs="Arial"/>
          <w:b/>
          <w:bCs/>
          <w:color w:val="000000"/>
          <w:sz w:val="21"/>
          <w:szCs w:val="21"/>
          <w:lang w:eastAsia="en-GB"/>
        </w:rPr>
        <w:t xml:space="preserve">Abstract: </w:t>
      </w:r>
      <w:r w:rsidRPr="00605C9A">
        <w:rPr>
          <w:rFonts w:eastAsia="Times New Roman" w:cs="Arial"/>
          <w:color w:val="000000"/>
          <w:sz w:val="21"/>
          <w:szCs w:val="21"/>
          <w:lang w:eastAsia="en-GB"/>
        </w:rPr>
        <w:t>The videofluoroscopic swallowing study (VFSS) is the clinical gold standard for evaluating dysphagia and detecting airway invasion. However, manual interpretation is time-consuming, subjective, and prone to rater variability due to the rapid and complex nature of swallowing events. Existing deep learning approaches for airway invasion are limited by relying on manual frame selection, a lack of interpretability, and black-box decision-making. In this study, we propose SPARNet (Swallowing Phase Airway Risk Network), AI pipeline integrates swallowing-phase classification, bolus and airway delineation, and airway-invasion tracking to provide a clinically interpretable assessment. SPARNet introduces a novel Airway Invasion Tracker (AIT) that partitions the visible laryngo-tracheal air column in VFSS into quadrants, tracks the location of the bolus, and computes temporal invasion parameters (event duration, total exposure time, and number of invasion episodes) to characterize airway invasion during the pharyngeal phase. We curated a VFSS-MultiLabel dataset comprising 125 clips from 75 patients, annotated for multiple tasks. SPARNet achieved strong performance across all components, including the pharyngeal phase detection (F1-score = 88%), bolus segmentation (Dice score = 0.83), laryngo-tracheal air column detection (mAP = 0.95), and airway invasion detection (F1-score = 92%). Unlike prior black-box models, SPARNet provides transparent spatial and temporal cues that align with clinical VFSS reasoning. These results demonstrate the feasibility of an system-level AI pipeline for VFSS analysis, highlighting the potential to support clinical decision-making in the management of dysphagia.</w:t>
      </w:r>
      <w:r w:rsidRPr="00605C9A">
        <w:rPr>
          <w:rFonts w:eastAsia="Times New Roman" w:cs="Arial"/>
          <w:color w:val="000000"/>
          <w:sz w:val="21"/>
          <w:szCs w:val="21"/>
          <w:lang w:eastAsia="en-GB"/>
        </w:rPr>
        <w:br/>
      </w:r>
      <w:r w:rsidRPr="00605C9A">
        <w:rPr>
          <w:rFonts w:eastAsia="Times New Roman" w:cs="Arial"/>
          <w:color w:val="000000"/>
          <w:sz w:val="21"/>
          <w:szCs w:val="21"/>
          <w:lang w:eastAsia="en-GB"/>
        </w:rPr>
        <w:br/>
      </w:r>
      <w:r w:rsidRPr="00605C9A">
        <w:rPr>
          <w:rFonts w:eastAsia="Times New Roman" w:cs="Arial"/>
          <w:b/>
          <w:bCs/>
          <w:color w:val="000000"/>
          <w:sz w:val="21"/>
          <w:szCs w:val="21"/>
          <w:lang w:eastAsia="en-GB"/>
        </w:rPr>
        <w:t xml:space="preserve">Access or request full text: </w:t>
      </w:r>
      <w:hyperlink r:id="rId53" w:tgtFrame="_blank" w:history="1">
        <w:r w:rsidRPr="00605C9A">
          <w:rPr>
            <w:rFonts w:eastAsia="Times New Roman" w:cs="Arial"/>
            <w:color w:val="0066CC"/>
            <w:sz w:val="21"/>
            <w:szCs w:val="21"/>
            <w:lang w:eastAsia="en-GB"/>
          </w:rPr>
          <w:t>https://libkey.io/10.1109/JBHI.2026.3695144</w:t>
        </w:r>
      </w:hyperlink>
    </w:p>
    <w:p w14:paraId="74FCEB17" w14:textId="0C5BA34B" w:rsidR="003E7AE2" w:rsidRDefault="00605C9A" w:rsidP="00605C9A">
      <w:r w:rsidRPr="00605C9A">
        <w:rPr>
          <w:rFonts w:eastAsia="Times New Roman" w:cs="Arial"/>
          <w:color w:val="000000"/>
          <w:sz w:val="21"/>
          <w:szCs w:val="21"/>
          <w:lang w:eastAsia="en-GB"/>
        </w:rPr>
        <w:br/>
      </w:r>
      <w:r w:rsidRPr="00605C9A">
        <w:rPr>
          <w:rFonts w:eastAsia="Times New Roman" w:cs="Arial"/>
          <w:i/>
          <w:iCs/>
          <w:color w:val="000000"/>
          <w:sz w:val="21"/>
          <w:szCs w:val="21"/>
          <w:shd w:val="clear" w:color="auto" w:fill="FFFFFF"/>
          <w:lang w:eastAsia="en-GB"/>
        </w:rPr>
        <w:t xml:space="preserve">You will need your </w:t>
      </w:r>
      <w:hyperlink r:id="rId54" w:history="1">
        <w:r w:rsidRPr="00605C9A">
          <w:rPr>
            <w:rFonts w:eastAsia="Times New Roman" w:cs="Arial"/>
            <w:i/>
            <w:iCs/>
            <w:color w:val="0066CC"/>
            <w:sz w:val="21"/>
            <w:szCs w:val="21"/>
            <w:lang w:eastAsia="en-GB"/>
          </w:rPr>
          <w:t>NHS OpenAthens account</w:t>
        </w:r>
      </w:hyperlink>
      <w:r w:rsidRPr="00605C9A">
        <w:rPr>
          <w:rFonts w:eastAsia="Times New Roman" w:cs="Arial"/>
          <w:i/>
          <w:iCs/>
          <w:color w:val="000000"/>
          <w:sz w:val="21"/>
          <w:szCs w:val="21"/>
          <w:shd w:val="clear" w:color="auto" w:fill="FFFFFF"/>
          <w:lang w:eastAsia="en-GB"/>
        </w:rPr>
        <w:t xml:space="preserve"> to access the full text of licenced content.</w:t>
      </w:r>
      <w:r w:rsidRPr="00605C9A">
        <w:rPr>
          <w:rFonts w:eastAsia="Times New Roman" w:cs="Arial"/>
          <w:color w:val="000000"/>
          <w:sz w:val="21"/>
          <w:szCs w:val="21"/>
          <w:lang w:eastAsia="en-GB"/>
        </w:rPr>
        <w:br/>
      </w:r>
      <w:r w:rsidRPr="00605C9A">
        <w:rPr>
          <w:rFonts w:eastAsia="Times New Roman" w:cs="Arial"/>
          <w:i/>
          <w:iCs/>
          <w:color w:val="000000"/>
          <w:sz w:val="21"/>
          <w:szCs w:val="21"/>
          <w:shd w:val="clear" w:color="auto" w:fill="FFFFFF"/>
          <w:lang w:eastAsia="en-GB"/>
        </w:rPr>
        <w:t>This service is provided to the NHS in England by NHSE Workforce, Training &amp; Education.</w:t>
      </w:r>
    </w:p>
    <w:p w14:paraId="25D3CC3D" w14:textId="77777777" w:rsidR="003E7AE2" w:rsidRDefault="003E7AE2" w:rsidP="003E7AE2">
      <w:pPr>
        <w:pStyle w:val="Heading1"/>
      </w:pPr>
      <w:bookmarkStart w:id="4" w:name="_Toc242972423"/>
      <w:r>
        <w:t>FEES</w:t>
      </w:r>
      <w:bookmarkEnd w:id="4"/>
    </w:p>
    <w:p w14:paraId="7D5D368F" w14:textId="539AD107" w:rsidR="000D0214" w:rsidRPr="000D0214" w:rsidRDefault="000D0214" w:rsidP="000D0214">
      <w:pPr>
        <w:shd w:val="clear" w:color="auto" w:fill="FFFFFF"/>
        <w:spacing w:after="173"/>
        <w:ind w:left="450" w:hanging="450"/>
        <w:rPr>
          <w:rFonts w:eastAsia="Times New Roman" w:cs="Arial"/>
          <w:color w:val="000000"/>
          <w:sz w:val="21"/>
          <w:szCs w:val="21"/>
          <w:lang w:eastAsia="en-GB"/>
        </w:rPr>
      </w:pPr>
      <w:r w:rsidRPr="000D0214">
        <w:rPr>
          <w:rFonts w:eastAsia="Times New Roman" w:cs="Arial"/>
          <w:color w:val="000000"/>
          <w:sz w:val="21"/>
          <w:szCs w:val="21"/>
          <w:lang w:eastAsia="en-GB"/>
        </w:rPr>
        <w:t xml:space="preserve">1. </w:t>
      </w:r>
      <w:r w:rsidRPr="000D0214">
        <w:rPr>
          <w:rFonts w:eastAsia="Times New Roman" w:cs="Arial"/>
          <w:b/>
          <w:bCs/>
          <w:color w:val="000000"/>
          <w:sz w:val="21"/>
          <w:szCs w:val="21"/>
          <w:lang w:eastAsia="en-GB"/>
        </w:rPr>
        <w:t>Effect of nasogastric tube on pharyngeal swallowing: a prospective paired FEES study in neurogenic dysphagia.</w:t>
      </w:r>
      <w:r w:rsidRPr="000D0214">
        <w:rPr>
          <w:rFonts w:eastAsia="Times New Roman" w:cs="Arial"/>
          <w:b/>
          <w:bCs/>
          <w:color w:val="000000"/>
          <w:sz w:val="21"/>
          <w:szCs w:val="21"/>
          <w:lang w:eastAsia="en-GB"/>
        </w:rPr>
        <w:br/>
      </w:r>
      <w:r w:rsidRPr="000D0214">
        <w:rPr>
          <w:rFonts w:eastAsia="Times New Roman" w:cs="Arial"/>
          <w:color w:val="000000"/>
          <w:sz w:val="21"/>
          <w:szCs w:val="21"/>
          <w:lang w:eastAsia="en-GB"/>
        </w:rPr>
        <w:br/>
      </w:r>
      <w:r w:rsidRPr="000D0214">
        <w:rPr>
          <w:rFonts w:eastAsia="Times New Roman" w:cs="Arial"/>
          <w:b/>
          <w:bCs/>
          <w:color w:val="000000"/>
          <w:sz w:val="21"/>
          <w:szCs w:val="21"/>
          <w:lang w:eastAsia="en-GB"/>
        </w:rPr>
        <w:t>Authors:</w:t>
      </w:r>
      <w:r w:rsidRPr="000D0214">
        <w:rPr>
          <w:rFonts w:eastAsia="Times New Roman" w:cs="Arial"/>
          <w:color w:val="000000"/>
          <w:sz w:val="21"/>
          <w:szCs w:val="21"/>
          <w:lang w:eastAsia="en-GB"/>
        </w:rPr>
        <w:t xml:space="preserve"> Bhowmick, Nilanjan and Das, Ellora</w:t>
      </w:r>
      <w:r w:rsidRPr="000D0214">
        <w:rPr>
          <w:rFonts w:eastAsia="Times New Roman" w:cs="Arial"/>
          <w:color w:val="000000"/>
          <w:sz w:val="21"/>
          <w:szCs w:val="21"/>
          <w:lang w:eastAsia="en-GB"/>
        </w:rPr>
        <w:br/>
      </w:r>
      <w:r w:rsidRPr="000D0214">
        <w:rPr>
          <w:rFonts w:eastAsia="Times New Roman" w:cs="Arial"/>
          <w:color w:val="000000"/>
          <w:sz w:val="21"/>
          <w:szCs w:val="21"/>
          <w:lang w:eastAsia="en-GB"/>
        </w:rPr>
        <w:br/>
      </w:r>
      <w:r w:rsidRPr="000D0214">
        <w:rPr>
          <w:rFonts w:eastAsia="Times New Roman" w:cs="Arial"/>
          <w:b/>
          <w:bCs/>
          <w:color w:val="000000"/>
          <w:sz w:val="21"/>
          <w:szCs w:val="21"/>
          <w:lang w:eastAsia="en-GB"/>
        </w:rPr>
        <w:t xml:space="preserve">Publication Date: </w:t>
      </w:r>
      <w:r w:rsidRPr="000D0214">
        <w:rPr>
          <w:rFonts w:eastAsia="Times New Roman" w:cs="Arial"/>
          <w:color w:val="000000"/>
          <w:sz w:val="21"/>
          <w:szCs w:val="21"/>
          <w:lang w:eastAsia="en-GB"/>
        </w:rPr>
        <w:t>Sep 23 ,2026</w:t>
      </w:r>
      <w:r w:rsidRPr="000D0214">
        <w:rPr>
          <w:rFonts w:eastAsia="Times New Roman" w:cs="Arial"/>
          <w:color w:val="000000"/>
          <w:sz w:val="21"/>
          <w:szCs w:val="21"/>
          <w:lang w:eastAsia="en-GB"/>
        </w:rPr>
        <w:br/>
      </w:r>
      <w:r w:rsidRPr="000D0214">
        <w:rPr>
          <w:rFonts w:eastAsia="Times New Roman" w:cs="Arial"/>
          <w:color w:val="000000"/>
          <w:sz w:val="21"/>
          <w:szCs w:val="21"/>
          <w:lang w:eastAsia="en-GB"/>
        </w:rPr>
        <w:br/>
      </w:r>
      <w:r w:rsidRPr="000D0214">
        <w:rPr>
          <w:rFonts w:eastAsia="Times New Roman" w:cs="Arial"/>
          <w:b/>
          <w:bCs/>
          <w:color w:val="000000"/>
          <w:sz w:val="21"/>
          <w:szCs w:val="21"/>
          <w:lang w:eastAsia="en-GB"/>
        </w:rPr>
        <w:t xml:space="preserve">Journal: </w:t>
      </w:r>
      <w:r w:rsidRPr="000D0214">
        <w:rPr>
          <w:rFonts w:eastAsia="Times New Roman" w:cs="Arial"/>
          <w:color w:val="000000"/>
          <w:sz w:val="21"/>
          <w:szCs w:val="21"/>
          <w:lang w:eastAsia="en-GB"/>
        </w:rPr>
        <w:t>Acta Oto-Laryngologica 1-7</w:t>
      </w:r>
      <w:r w:rsidR="002A45C5">
        <w:rPr>
          <w:rFonts w:eastAsia="Times New Roman" w:cs="Arial"/>
          <w:color w:val="000000"/>
          <w:sz w:val="21"/>
          <w:szCs w:val="21"/>
          <w:lang w:eastAsia="en-GB"/>
        </w:rPr>
        <w:br/>
      </w:r>
      <w:r w:rsidRPr="000D0214">
        <w:rPr>
          <w:rFonts w:eastAsia="Times New Roman" w:cs="Arial"/>
          <w:color w:val="000000"/>
          <w:sz w:val="21"/>
          <w:szCs w:val="21"/>
          <w:lang w:eastAsia="en-GB"/>
        </w:rPr>
        <w:br/>
      </w:r>
      <w:r w:rsidRPr="000D0214">
        <w:rPr>
          <w:rFonts w:eastAsia="Times New Roman" w:cs="Arial"/>
          <w:b/>
          <w:bCs/>
          <w:color w:val="000000"/>
          <w:sz w:val="21"/>
          <w:szCs w:val="21"/>
          <w:lang w:eastAsia="en-GB"/>
        </w:rPr>
        <w:t>Abstract: BACKGROUND</w:t>
      </w:r>
      <w:r w:rsidRPr="000D0214">
        <w:rPr>
          <w:rFonts w:eastAsia="Times New Roman" w:cs="Arial"/>
          <w:color w:val="000000"/>
          <w:sz w:val="21"/>
          <w:szCs w:val="21"/>
          <w:lang w:eastAsia="en-GB"/>
        </w:rPr>
        <w:t xml:space="preserve">: NGT feeding is widely used for short-term enteral nutrition in neurogenic dysphagia, but its effect on pharyngeal swallowing physiology is incompletely understood. </w:t>
      </w:r>
      <w:r w:rsidRPr="000D0214">
        <w:rPr>
          <w:rFonts w:eastAsia="Times New Roman" w:cs="Arial"/>
          <w:b/>
          <w:bCs/>
          <w:color w:val="000000"/>
          <w:sz w:val="21"/>
          <w:szCs w:val="21"/>
          <w:lang w:eastAsia="en-GB"/>
        </w:rPr>
        <w:t>OBJECTIVE</w:t>
      </w:r>
      <w:r w:rsidRPr="000D0214">
        <w:rPr>
          <w:rFonts w:eastAsia="Times New Roman" w:cs="Arial"/>
          <w:color w:val="000000"/>
          <w:sz w:val="21"/>
          <w:szCs w:val="21"/>
          <w:lang w:eastAsia="en-GB"/>
        </w:rPr>
        <w:t xml:space="preserve">: To evaluate the effect of NGT presence on pharyngeal residue and airway protection using flexible endoscopic evaluation of swallowing (FEES). </w:t>
      </w:r>
      <w:r w:rsidRPr="000D0214">
        <w:rPr>
          <w:rFonts w:eastAsia="Times New Roman" w:cs="Arial"/>
          <w:b/>
          <w:bCs/>
          <w:color w:val="000000"/>
          <w:sz w:val="21"/>
          <w:szCs w:val="21"/>
          <w:lang w:eastAsia="en-GB"/>
        </w:rPr>
        <w:t>METHODS</w:t>
      </w:r>
      <w:r w:rsidRPr="000D0214">
        <w:rPr>
          <w:rFonts w:eastAsia="Times New Roman" w:cs="Arial"/>
          <w:color w:val="000000"/>
          <w:sz w:val="21"/>
          <w:szCs w:val="21"/>
          <w:lang w:eastAsia="en-GB"/>
        </w:rPr>
        <w:t xml:space="preserve">: In this prospective before-after study, 53 patients with neurogenic dysphagia and indwelling NGT (&gt;=15 days) underwent FEES with tube </w:t>
      </w:r>
      <w:r w:rsidRPr="000D0214">
        <w:rPr>
          <w:rFonts w:eastAsia="Times New Roman" w:cs="Arial"/>
          <w:i/>
          <w:iCs/>
          <w:color w:val="000000"/>
          <w:sz w:val="21"/>
          <w:szCs w:val="21"/>
          <w:lang w:eastAsia="en-GB"/>
        </w:rPr>
        <w:t>in situ</w:t>
      </w:r>
      <w:r w:rsidRPr="000D0214">
        <w:rPr>
          <w:rFonts w:eastAsia="Times New Roman" w:cs="Arial"/>
          <w:color w:val="000000"/>
          <w:sz w:val="21"/>
          <w:szCs w:val="21"/>
          <w:lang w:eastAsia="en-GB"/>
        </w:rPr>
        <w:t xml:space="preserve"> and within 30 min of removal, at IDDSI 1, 3, and 5. Residue was graded using the Yale Pharyngeal Residue Severity Rating Scale and airway invasion using the Penetration-Aspiration Scale (PAS); comparisons used Wilcoxon signed-rank and McNemar exact tests. </w:t>
      </w:r>
      <w:r w:rsidRPr="000D0214">
        <w:rPr>
          <w:rFonts w:eastAsia="Times New Roman" w:cs="Arial"/>
          <w:b/>
          <w:bCs/>
          <w:color w:val="000000"/>
          <w:sz w:val="21"/>
          <w:szCs w:val="21"/>
          <w:lang w:eastAsia="en-GB"/>
        </w:rPr>
        <w:t>RESULTS</w:t>
      </w:r>
      <w:r w:rsidRPr="000D0214">
        <w:rPr>
          <w:rFonts w:eastAsia="Times New Roman" w:cs="Arial"/>
          <w:color w:val="000000"/>
          <w:sz w:val="21"/>
          <w:szCs w:val="21"/>
          <w:lang w:eastAsia="en-GB"/>
        </w:rPr>
        <w:t>: NGT removal significantly reduced vallecular and pyriform sinus residue across all consistencies (</w:t>
      </w:r>
      <w:r w:rsidRPr="000D0214">
        <w:rPr>
          <w:rFonts w:eastAsia="Times New Roman" w:cs="Arial"/>
          <w:i/>
          <w:iCs/>
          <w:color w:val="000000"/>
          <w:sz w:val="21"/>
          <w:szCs w:val="21"/>
          <w:lang w:eastAsia="en-GB"/>
        </w:rPr>
        <w:t>p</w:t>
      </w:r>
      <w:r w:rsidRPr="000D0214">
        <w:rPr>
          <w:rFonts w:eastAsia="Times New Roman" w:cs="Arial"/>
          <w:color w:val="000000"/>
          <w:sz w:val="21"/>
          <w:szCs w:val="21"/>
          <w:lang w:eastAsia="en-GB"/>
        </w:rPr>
        <w:t xml:space="preserve"> </w:t>
      </w:r>
      <w:r w:rsidRPr="000D0214">
        <w:rPr>
          <w:rFonts w:eastAsia="Times New Roman" w:cs="Arial"/>
          <w:i/>
          <w:iCs/>
          <w:color w:val="000000"/>
          <w:sz w:val="21"/>
          <w:szCs w:val="21"/>
          <w:lang w:eastAsia="en-GB"/>
        </w:rPr>
        <w:t>r</w:t>
      </w:r>
      <w:r w:rsidRPr="000D0214">
        <w:rPr>
          <w:rFonts w:eastAsia="Times New Roman" w:cs="Arial"/>
          <w:color w:val="000000"/>
          <w:sz w:val="21"/>
          <w:szCs w:val="21"/>
          <w:lang w:eastAsia="en-GB"/>
        </w:rPr>
        <w:t xml:space="preserve"> = 0.600-0.748) and improved PAS (</w:t>
      </w:r>
      <w:r w:rsidRPr="000D0214">
        <w:rPr>
          <w:rFonts w:eastAsia="Times New Roman" w:cs="Arial"/>
          <w:i/>
          <w:iCs/>
          <w:color w:val="000000"/>
          <w:sz w:val="21"/>
          <w:szCs w:val="21"/>
          <w:lang w:eastAsia="en-GB"/>
        </w:rPr>
        <w:t>p</w:t>
      </w:r>
      <w:r w:rsidRPr="000D0214">
        <w:rPr>
          <w:rFonts w:eastAsia="Times New Roman" w:cs="Arial"/>
          <w:color w:val="000000"/>
          <w:sz w:val="21"/>
          <w:szCs w:val="21"/>
          <w:lang w:eastAsia="en-GB"/>
        </w:rPr>
        <w:t xml:space="preserve"> </w:t>
      </w:r>
      <w:r w:rsidRPr="000D0214">
        <w:rPr>
          <w:rFonts w:eastAsia="Times New Roman" w:cs="Arial"/>
          <w:i/>
          <w:iCs/>
          <w:color w:val="000000"/>
          <w:sz w:val="21"/>
          <w:szCs w:val="21"/>
          <w:lang w:eastAsia="en-GB"/>
        </w:rPr>
        <w:t>r</w:t>
      </w:r>
      <w:r w:rsidRPr="000D0214">
        <w:rPr>
          <w:rFonts w:eastAsia="Times New Roman" w:cs="Arial"/>
          <w:color w:val="000000"/>
          <w:sz w:val="21"/>
          <w:szCs w:val="21"/>
          <w:lang w:eastAsia="en-GB"/>
        </w:rPr>
        <w:t xml:space="preserve"> = 0.468, 95% CI 0.226-0.655); airway invasion prevalence fell from 37.7% to 15.1%. Invasion resolved in 12/20 patients (60%); none developed new invasion (</w:t>
      </w:r>
      <w:r w:rsidRPr="000D0214">
        <w:rPr>
          <w:rFonts w:eastAsia="Times New Roman" w:cs="Arial"/>
          <w:i/>
          <w:iCs/>
          <w:color w:val="000000"/>
          <w:sz w:val="21"/>
          <w:szCs w:val="21"/>
          <w:lang w:eastAsia="en-GB"/>
        </w:rPr>
        <w:t>p</w:t>
      </w:r>
      <w:r w:rsidRPr="000D0214">
        <w:rPr>
          <w:rFonts w:eastAsia="Times New Roman" w:cs="Arial"/>
          <w:color w:val="000000"/>
          <w:sz w:val="21"/>
          <w:szCs w:val="21"/>
          <w:lang w:eastAsia="en-GB"/>
        </w:rPr>
        <w:t xml:space="preserve"> = 0.0005). Age was not significantly associated with outcomes. </w:t>
      </w:r>
      <w:r w:rsidRPr="000D0214">
        <w:rPr>
          <w:rFonts w:eastAsia="Times New Roman" w:cs="Arial"/>
          <w:b/>
          <w:bCs/>
          <w:color w:val="000000"/>
          <w:sz w:val="21"/>
          <w:szCs w:val="21"/>
          <w:lang w:eastAsia="en-GB"/>
        </w:rPr>
        <w:t>CONCLUSION</w:t>
      </w:r>
      <w:r w:rsidRPr="000D0214">
        <w:rPr>
          <w:rFonts w:eastAsia="Times New Roman" w:cs="Arial"/>
          <w:color w:val="000000"/>
          <w:sz w:val="21"/>
          <w:szCs w:val="21"/>
          <w:lang w:eastAsia="en-GB"/>
        </w:rPr>
        <w:t xml:space="preserve">: Residue and airway safety improved after NGT removal, compatible with an adverse influence of NGT on swallowing, though the fixed-order design cannot establish causality. </w:t>
      </w:r>
      <w:r w:rsidRPr="000D0214">
        <w:rPr>
          <w:rFonts w:eastAsia="Times New Roman" w:cs="Arial"/>
          <w:b/>
          <w:bCs/>
          <w:color w:val="000000"/>
          <w:sz w:val="21"/>
          <w:szCs w:val="21"/>
          <w:lang w:eastAsia="en-GB"/>
        </w:rPr>
        <w:t>SIGNIFICANCE</w:t>
      </w:r>
      <w:r w:rsidRPr="000D0214">
        <w:rPr>
          <w:rFonts w:eastAsia="Times New Roman" w:cs="Arial"/>
          <w:color w:val="000000"/>
          <w:sz w:val="21"/>
          <w:szCs w:val="21"/>
          <w:lang w:eastAsia="en-GB"/>
        </w:rPr>
        <w:t>: Early reassessment and timely NGT removal, when feasible, may be considered.</w:t>
      </w:r>
      <w:r w:rsidRPr="000D0214">
        <w:rPr>
          <w:rFonts w:eastAsia="Times New Roman" w:cs="Arial"/>
          <w:color w:val="000000"/>
          <w:sz w:val="21"/>
          <w:szCs w:val="21"/>
          <w:lang w:eastAsia="en-GB"/>
        </w:rPr>
        <w:br/>
      </w:r>
      <w:r w:rsidRPr="000D0214">
        <w:rPr>
          <w:rFonts w:eastAsia="Times New Roman" w:cs="Arial"/>
          <w:color w:val="000000"/>
          <w:sz w:val="21"/>
          <w:szCs w:val="21"/>
          <w:lang w:eastAsia="en-GB"/>
        </w:rPr>
        <w:lastRenderedPageBreak/>
        <w:br/>
      </w:r>
      <w:r w:rsidRPr="000D0214">
        <w:rPr>
          <w:rFonts w:eastAsia="Times New Roman" w:cs="Arial"/>
          <w:b/>
          <w:bCs/>
          <w:color w:val="000000"/>
          <w:sz w:val="21"/>
          <w:szCs w:val="21"/>
          <w:lang w:eastAsia="en-GB"/>
        </w:rPr>
        <w:t xml:space="preserve">Access or request full text: </w:t>
      </w:r>
      <w:hyperlink r:id="rId55" w:tgtFrame="_blank" w:history="1">
        <w:r w:rsidRPr="000D0214">
          <w:rPr>
            <w:rFonts w:eastAsia="Times New Roman" w:cs="Arial"/>
            <w:color w:val="0066CC"/>
            <w:sz w:val="21"/>
            <w:szCs w:val="21"/>
            <w:lang w:eastAsia="en-GB"/>
          </w:rPr>
          <w:t>https://libkey.io/10.1080/00016489.2026.2728505</w:t>
        </w:r>
      </w:hyperlink>
    </w:p>
    <w:p w14:paraId="7C030913" w14:textId="35AF774C" w:rsidR="000D0214" w:rsidRPr="000D0214" w:rsidRDefault="000D0214" w:rsidP="000D0214">
      <w:pPr>
        <w:shd w:val="clear" w:color="auto" w:fill="FFFFFF"/>
        <w:spacing w:after="173"/>
        <w:ind w:left="450" w:hanging="450"/>
        <w:rPr>
          <w:rFonts w:eastAsia="Times New Roman" w:cs="Arial"/>
          <w:color w:val="000000"/>
          <w:sz w:val="21"/>
          <w:szCs w:val="21"/>
          <w:lang w:eastAsia="en-GB"/>
        </w:rPr>
      </w:pPr>
      <w:r w:rsidRPr="000D0214">
        <w:rPr>
          <w:rFonts w:eastAsia="Times New Roman" w:cs="Arial"/>
          <w:color w:val="000000"/>
          <w:sz w:val="21"/>
          <w:szCs w:val="21"/>
          <w:lang w:eastAsia="en-GB"/>
        </w:rPr>
        <w:t xml:space="preserve">2. </w:t>
      </w:r>
      <w:r w:rsidRPr="000D0214">
        <w:rPr>
          <w:rFonts w:eastAsia="Times New Roman" w:cs="Arial"/>
          <w:b/>
          <w:bCs/>
          <w:color w:val="000000"/>
          <w:sz w:val="21"/>
          <w:szCs w:val="21"/>
          <w:lang w:eastAsia="en-GB"/>
        </w:rPr>
        <w:t>Oropharyngeal Dysphagia Assessment in Behcet Disease Using EAT-10 and Fiberoptic Endoscopic Evaluation of Swallowing.</w:t>
      </w:r>
      <w:r w:rsidRPr="000D0214">
        <w:rPr>
          <w:rFonts w:eastAsia="Times New Roman" w:cs="Arial"/>
          <w:b/>
          <w:bCs/>
          <w:color w:val="000000"/>
          <w:sz w:val="21"/>
          <w:szCs w:val="21"/>
          <w:lang w:eastAsia="en-GB"/>
        </w:rPr>
        <w:br/>
      </w:r>
      <w:r w:rsidRPr="000D0214">
        <w:rPr>
          <w:rFonts w:eastAsia="Times New Roman" w:cs="Arial"/>
          <w:color w:val="000000"/>
          <w:sz w:val="21"/>
          <w:szCs w:val="21"/>
          <w:lang w:eastAsia="en-GB"/>
        </w:rPr>
        <w:br/>
      </w:r>
      <w:r w:rsidRPr="000D0214">
        <w:rPr>
          <w:rFonts w:eastAsia="Times New Roman" w:cs="Arial"/>
          <w:b/>
          <w:bCs/>
          <w:color w:val="000000"/>
          <w:sz w:val="21"/>
          <w:szCs w:val="21"/>
          <w:lang w:eastAsia="en-GB"/>
        </w:rPr>
        <w:t>Authors:</w:t>
      </w:r>
      <w:r w:rsidRPr="000D0214">
        <w:rPr>
          <w:rFonts w:eastAsia="Times New Roman" w:cs="Arial"/>
          <w:color w:val="000000"/>
          <w:sz w:val="21"/>
          <w:szCs w:val="21"/>
          <w:lang w:eastAsia="en-GB"/>
        </w:rPr>
        <w:t xml:space="preserve"> Demirel, Emre;Tahir, Emel and Cengiz, Ahmet Kivanc</w:t>
      </w:r>
      <w:r w:rsidRPr="000D0214">
        <w:rPr>
          <w:rFonts w:eastAsia="Times New Roman" w:cs="Arial"/>
          <w:color w:val="000000"/>
          <w:sz w:val="21"/>
          <w:szCs w:val="21"/>
          <w:lang w:eastAsia="en-GB"/>
        </w:rPr>
        <w:br/>
      </w:r>
      <w:r w:rsidRPr="000D0214">
        <w:rPr>
          <w:rFonts w:eastAsia="Times New Roman" w:cs="Arial"/>
          <w:color w:val="000000"/>
          <w:sz w:val="21"/>
          <w:szCs w:val="21"/>
          <w:lang w:eastAsia="en-GB"/>
        </w:rPr>
        <w:br/>
      </w:r>
      <w:r w:rsidRPr="000D0214">
        <w:rPr>
          <w:rFonts w:eastAsia="Times New Roman" w:cs="Arial"/>
          <w:b/>
          <w:bCs/>
          <w:color w:val="000000"/>
          <w:sz w:val="21"/>
          <w:szCs w:val="21"/>
          <w:lang w:eastAsia="en-GB"/>
        </w:rPr>
        <w:t xml:space="preserve">Publication Date: </w:t>
      </w:r>
      <w:r w:rsidRPr="000D0214">
        <w:rPr>
          <w:rFonts w:eastAsia="Times New Roman" w:cs="Arial"/>
          <w:color w:val="000000"/>
          <w:sz w:val="21"/>
          <w:szCs w:val="21"/>
          <w:lang w:eastAsia="en-GB"/>
        </w:rPr>
        <w:t>Jun ,2026</w:t>
      </w:r>
      <w:r w:rsidRPr="000D0214">
        <w:rPr>
          <w:rFonts w:eastAsia="Times New Roman" w:cs="Arial"/>
          <w:color w:val="000000"/>
          <w:sz w:val="21"/>
          <w:szCs w:val="21"/>
          <w:lang w:eastAsia="en-GB"/>
        </w:rPr>
        <w:br/>
      </w:r>
      <w:r w:rsidRPr="000D0214">
        <w:rPr>
          <w:rFonts w:eastAsia="Times New Roman" w:cs="Arial"/>
          <w:color w:val="000000"/>
          <w:sz w:val="21"/>
          <w:szCs w:val="21"/>
          <w:lang w:eastAsia="en-GB"/>
        </w:rPr>
        <w:br/>
      </w:r>
      <w:r w:rsidRPr="000D0214">
        <w:rPr>
          <w:rFonts w:eastAsia="Times New Roman" w:cs="Arial"/>
          <w:b/>
          <w:bCs/>
          <w:color w:val="000000"/>
          <w:sz w:val="21"/>
          <w:szCs w:val="21"/>
          <w:lang w:eastAsia="en-GB"/>
        </w:rPr>
        <w:t xml:space="preserve">Journal: </w:t>
      </w:r>
      <w:r w:rsidRPr="000D0214">
        <w:rPr>
          <w:rFonts w:eastAsia="Times New Roman" w:cs="Arial"/>
          <w:color w:val="000000"/>
          <w:sz w:val="21"/>
          <w:szCs w:val="21"/>
          <w:lang w:eastAsia="en-GB"/>
        </w:rPr>
        <w:t>Laryngoscope Investigative Otolaryngology 11(3), pp. e70470</w:t>
      </w:r>
      <w:r w:rsidRPr="000D0214">
        <w:rPr>
          <w:rFonts w:eastAsia="Times New Roman" w:cs="Arial"/>
          <w:color w:val="000000"/>
          <w:sz w:val="21"/>
          <w:szCs w:val="21"/>
          <w:lang w:eastAsia="en-GB"/>
        </w:rPr>
        <w:br/>
      </w:r>
      <w:r w:rsidRPr="000D0214">
        <w:rPr>
          <w:rFonts w:eastAsia="Times New Roman" w:cs="Arial"/>
          <w:color w:val="000000"/>
          <w:sz w:val="21"/>
          <w:szCs w:val="21"/>
          <w:lang w:eastAsia="en-GB"/>
        </w:rPr>
        <w:br/>
      </w:r>
      <w:r w:rsidRPr="000D0214">
        <w:rPr>
          <w:rFonts w:eastAsia="Times New Roman" w:cs="Arial"/>
          <w:b/>
          <w:bCs/>
          <w:color w:val="000000"/>
          <w:sz w:val="21"/>
          <w:szCs w:val="21"/>
          <w:lang w:eastAsia="en-GB"/>
        </w:rPr>
        <w:t>Abstract: Objective</w:t>
      </w:r>
      <w:r w:rsidRPr="000D0214">
        <w:rPr>
          <w:rFonts w:eastAsia="Times New Roman" w:cs="Arial"/>
          <w:color w:val="000000"/>
          <w:sz w:val="21"/>
          <w:szCs w:val="21"/>
          <w:lang w:eastAsia="en-GB"/>
        </w:rPr>
        <w:t xml:space="preserve">: To provide a preliminary symptom-based and standardized single-consistency FEES screening assessment of swallowing in adults with Behcet disease using the Eating Assessment Tool-10 (EAT-10) and fiberoptic endoscopic evaluation of swallowing (FEES). </w:t>
      </w:r>
      <w:r w:rsidRPr="000D0214">
        <w:rPr>
          <w:rFonts w:eastAsia="Times New Roman" w:cs="Arial"/>
          <w:b/>
          <w:bCs/>
          <w:color w:val="000000"/>
          <w:sz w:val="21"/>
          <w:szCs w:val="21"/>
          <w:lang w:eastAsia="en-GB"/>
        </w:rPr>
        <w:t>Methods</w:t>
      </w:r>
      <w:r w:rsidRPr="000D0214">
        <w:rPr>
          <w:rFonts w:eastAsia="Times New Roman" w:cs="Arial"/>
          <w:color w:val="000000"/>
          <w:sz w:val="21"/>
          <w:szCs w:val="21"/>
          <w:lang w:eastAsia="en-GB"/>
        </w:rPr>
        <w:t xml:space="preserve">: This single-center cross-sectional observational study with prospective enrollment was conducted between September 2022 and March 2024. Adult patients with Behcet disease completed the EAT-10 and underwent FEES using an IDDSI level 3 moderately thick bolus (yellow pudding). FEES outcomes were scored using the Penetration-Aspiration Scale (PAS), Yale Pharyngeal Residue Severity Rating Scale for vallecular and pyriform sinus residue (YPRSRS-V and YPRSRS-P), Functional Outcome Swallowing Scale (FOSS), and Functional Oral Intake Scale (FOIS). </w:t>
      </w:r>
      <w:r w:rsidRPr="000D0214">
        <w:rPr>
          <w:rFonts w:eastAsia="Times New Roman" w:cs="Arial"/>
          <w:b/>
          <w:bCs/>
          <w:color w:val="000000"/>
          <w:sz w:val="21"/>
          <w:szCs w:val="21"/>
          <w:lang w:eastAsia="en-GB"/>
        </w:rPr>
        <w:t>Results</w:t>
      </w:r>
      <w:r w:rsidRPr="000D0214">
        <w:rPr>
          <w:rFonts w:eastAsia="Times New Roman" w:cs="Arial"/>
          <w:color w:val="000000"/>
          <w:sz w:val="21"/>
          <w:szCs w:val="21"/>
          <w:lang w:eastAsia="en-GB"/>
        </w:rPr>
        <w:t xml:space="preserve">: </w:t>
      </w:r>
      <w:r w:rsidR="002D5DC0" w:rsidRPr="002D5DC0">
        <w:rPr>
          <w:rFonts w:eastAsia="Times New Roman" w:cs="Arial"/>
          <w:color w:val="000000"/>
          <w:sz w:val="21"/>
          <w:szCs w:val="21"/>
          <w:lang w:eastAsia="en-GB"/>
        </w:rPr>
        <w:t>Twenty</w:t>
      </w:r>
      <w:r w:rsidR="002D5DC0" w:rsidRPr="002D5DC0">
        <w:rPr>
          <w:rFonts w:ascii="Cambria Math" w:eastAsia="Times New Roman" w:hAnsi="Cambria Math" w:cs="Cambria Math"/>
          <w:color w:val="000000"/>
          <w:sz w:val="21"/>
          <w:szCs w:val="21"/>
          <w:lang w:eastAsia="en-GB"/>
        </w:rPr>
        <w:t>‐</w:t>
      </w:r>
      <w:r w:rsidR="002D5DC0" w:rsidRPr="002D5DC0">
        <w:rPr>
          <w:rFonts w:eastAsia="Times New Roman" w:cs="Arial"/>
          <w:color w:val="000000"/>
          <w:sz w:val="21"/>
          <w:szCs w:val="21"/>
          <w:lang w:eastAsia="en-GB"/>
        </w:rPr>
        <w:t>seven patients were included (20 women, 7 men). Mean age was 45.7 ± 8.0 years and mean disease duration was 10.4 ± 7.6 years. The mean EAT</w:t>
      </w:r>
      <w:r w:rsidR="002D5DC0" w:rsidRPr="002D5DC0">
        <w:rPr>
          <w:rFonts w:ascii="Cambria Math" w:eastAsia="Times New Roman" w:hAnsi="Cambria Math" w:cs="Cambria Math"/>
          <w:color w:val="000000"/>
          <w:sz w:val="21"/>
          <w:szCs w:val="21"/>
          <w:lang w:eastAsia="en-GB"/>
        </w:rPr>
        <w:t>‐</w:t>
      </w:r>
      <w:r w:rsidR="002D5DC0" w:rsidRPr="002D5DC0">
        <w:rPr>
          <w:rFonts w:eastAsia="Times New Roman" w:cs="Arial"/>
          <w:color w:val="000000"/>
          <w:sz w:val="21"/>
          <w:szCs w:val="21"/>
          <w:lang w:eastAsia="en-GB"/>
        </w:rPr>
        <w:t>10 score was 4.0 ± 6.6, and 10 patients (37.0%) had an abnormal EAT</w:t>
      </w:r>
      <w:r w:rsidR="002D5DC0" w:rsidRPr="002D5DC0">
        <w:rPr>
          <w:rFonts w:ascii="Cambria Math" w:eastAsia="Times New Roman" w:hAnsi="Cambria Math" w:cs="Cambria Math"/>
          <w:color w:val="000000"/>
          <w:sz w:val="21"/>
          <w:szCs w:val="21"/>
          <w:lang w:eastAsia="en-GB"/>
        </w:rPr>
        <w:t>‐</w:t>
      </w:r>
      <w:r w:rsidR="002D5DC0" w:rsidRPr="002D5DC0">
        <w:rPr>
          <w:rFonts w:eastAsia="Times New Roman" w:cs="Arial"/>
          <w:color w:val="000000"/>
          <w:sz w:val="21"/>
          <w:szCs w:val="21"/>
          <w:lang w:eastAsia="en-GB"/>
        </w:rPr>
        <w:t>10 score (≥ 3). With the tested IDDSI level 3 bolus, PAS was ≥ 2 in 1 patient (3.7%). Vallecular residue (YPRSRS</w:t>
      </w:r>
      <w:r w:rsidR="002D5DC0" w:rsidRPr="002D5DC0">
        <w:rPr>
          <w:rFonts w:ascii="Cambria Math" w:eastAsia="Times New Roman" w:hAnsi="Cambria Math" w:cs="Cambria Math"/>
          <w:color w:val="000000"/>
          <w:sz w:val="21"/>
          <w:szCs w:val="21"/>
          <w:lang w:eastAsia="en-GB"/>
        </w:rPr>
        <w:t>‐</w:t>
      </w:r>
      <w:r w:rsidR="002D5DC0" w:rsidRPr="002D5DC0">
        <w:rPr>
          <w:rFonts w:eastAsia="Times New Roman" w:cs="Arial"/>
          <w:color w:val="000000"/>
          <w:sz w:val="21"/>
          <w:szCs w:val="21"/>
          <w:lang w:eastAsia="en-GB"/>
        </w:rPr>
        <w:t>V ≥ 2) was observed in 5 patients (18.5%) and pyriform sinus residue (YPRSRS</w:t>
      </w:r>
      <w:r w:rsidR="002D5DC0" w:rsidRPr="002D5DC0">
        <w:rPr>
          <w:rFonts w:ascii="Cambria Math" w:eastAsia="Times New Roman" w:hAnsi="Cambria Math" w:cs="Cambria Math"/>
          <w:color w:val="000000"/>
          <w:sz w:val="21"/>
          <w:szCs w:val="21"/>
          <w:lang w:eastAsia="en-GB"/>
        </w:rPr>
        <w:t>‐</w:t>
      </w:r>
      <w:r w:rsidR="002D5DC0" w:rsidRPr="002D5DC0">
        <w:rPr>
          <w:rFonts w:eastAsia="Times New Roman" w:cs="Arial"/>
          <w:i/>
          <w:iCs/>
          <w:color w:val="000000"/>
          <w:sz w:val="21"/>
          <w:szCs w:val="21"/>
          <w:lang w:eastAsia="en-GB"/>
        </w:rPr>
        <w:t>p</w:t>
      </w:r>
      <w:r w:rsidR="002D5DC0" w:rsidRPr="002D5DC0">
        <w:rPr>
          <w:rFonts w:eastAsia="Times New Roman" w:cs="Arial"/>
          <w:color w:val="000000"/>
          <w:sz w:val="21"/>
          <w:szCs w:val="21"/>
          <w:lang w:eastAsia="en-GB"/>
        </w:rPr>
        <w:t> ≥ 2) in 2 patients (7.4%). FOSS was ≥ 2 in 1 patient (3.7%), and FOIS was ≤ 6 in 1 patient (3.7%).</w:t>
      </w:r>
      <w:r w:rsidRPr="000D0214">
        <w:rPr>
          <w:rFonts w:eastAsia="Times New Roman" w:cs="Arial"/>
          <w:color w:val="000000"/>
          <w:sz w:val="21"/>
          <w:szCs w:val="21"/>
          <w:lang w:eastAsia="en-GB"/>
        </w:rPr>
        <w:t xml:space="preserve"> </w:t>
      </w:r>
      <w:r w:rsidRPr="000D0214">
        <w:rPr>
          <w:rFonts w:eastAsia="Times New Roman" w:cs="Arial"/>
          <w:b/>
          <w:bCs/>
          <w:color w:val="000000"/>
          <w:sz w:val="21"/>
          <w:szCs w:val="21"/>
          <w:lang w:eastAsia="en-GB"/>
        </w:rPr>
        <w:t>Conclusion</w:t>
      </w:r>
      <w:r w:rsidRPr="000D0214">
        <w:rPr>
          <w:rFonts w:eastAsia="Times New Roman" w:cs="Arial"/>
          <w:color w:val="000000"/>
          <w:sz w:val="21"/>
          <w:szCs w:val="21"/>
          <w:lang w:eastAsia="en-GB"/>
        </w:rPr>
        <w:t xml:space="preserve">: In Behcet disease, patient-reported swallowing complaints were relatively common, whereas objective FEES evidence of penetration or aspiration was uncommon. Pharyngeal residue, particularly vallecular residue, was more frequent than airway invasion under this standardized bolus condition. EAT-10-based screening with selective FEES may help identify patients who may benefit from multidisciplinary swallowing evaluation. </w:t>
      </w:r>
      <w:r w:rsidRPr="000D0214">
        <w:rPr>
          <w:rFonts w:eastAsia="Times New Roman" w:cs="Arial"/>
          <w:b/>
          <w:bCs/>
          <w:color w:val="000000"/>
          <w:sz w:val="21"/>
          <w:szCs w:val="21"/>
          <w:lang w:eastAsia="en-GB"/>
        </w:rPr>
        <w:t>Level of Evidence</w:t>
      </w:r>
      <w:r w:rsidRPr="000D0214">
        <w:rPr>
          <w:rFonts w:eastAsia="Times New Roman" w:cs="Arial"/>
          <w:color w:val="000000"/>
          <w:sz w:val="21"/>
          <w:szCs w:val="21"/>
          <w:lang w:eastAsia="en-GB"/>
        </w:rPr>
        <w:t>: 4.</w:t>
      </w:r>
      <w:r w:rsidRPr="000D0214">
        <w:rPr>
          <w:rFonts w:eastAsia="Times New Roman" w:cs="Arial"/>
          <w:color w:val="000000"/>
          <w:sz w:val="21"/>
          <w:szCs w:val="21"/>
          <w:lang w:eastAsia="en-GB"/>
        </w:rPr>
        <w:br/>
      </w:r>
      <w:r w:rsidRPr="000D0214">
        <w:rPr>
          <w:rFonts w:eastAsia="Times New Roman" w:cs="Arial"/>
          <w:color w:val="000000"/>
          <w:sz w:val="21"/>
          <w:szCs w:val="21"/>
          <w:lang w:eastAsia="en-GB"/>
        </w:rPr>
        <w:br/>
        <w:t>Copyright © 2026 The Author(s). Laryngoscope Investigative Otolaryngology published by Wiley Periodicals LLC on behalf of The Triological Society.</w:t>
      </w:r>
      <w:r w:rsidRPr="000D0214">
        <w:rPr>
          <w:rFonts w:eastAsia="Times New Roman" w:cs="Arial"/>
          <w:color w:val="000000"/>
          <w:sz w:val="21"/>
          <w:szCs w:val="21"/>
          <w:lang w:eastAsia="en-GB"/>
        </w:rPr>
        <w:br/>
      </w:r>
      <w:r w:rsidRPr="000D0214">
        <w:rPr>
          <w:rFonts w:eastAsia="Times New Roman" w:cs="Arial"/>
          <w:color w:val="000000"/>
          <w:sz w:val="21"/>
          <w:szCs w:val="21"/>
          <w:lang w:eastAsia="en-GB"/>
        </w:rPr>
        <w:br/>
      </w:r>
      <w:r w:rsidRPr="000D0214">
        <w:rPr>
          <w:rFonts w:eastAsia="Times New Roman" w:cs="Arial"/>
          <w:b/>
          <w:bCs/>
          <w:color w:val="000000"/>
          <w:sz w:val="21"/>
          <w:szCs w:val="21"/>
          <w:lang w:eastAsia="en-GB"/>
        </w:rPr>
        <w:t xml:space="preserve">Access or request full text: </w:t>
      </w:r>
      <w:hyperlink r:id="rId56" w:tgtFrame="_blank" w:history="1">
        <w:r w:rsidRPr="000D0214">
          <w:rPr>
            <w:rFonts w:eastAsia="Times New Roman" w:cs="Arial"/>
            <w:color w:val="0066CC"/>
            <w:sz w:val="21"/>
            <w:szCs w:val="21"/>
            <w:lang w:eastAsia="en-GB"/>
          </w:rPr>
          <w:t>https://libkey.io/10.1002/lio2.70470</w:t>
        </w:r>
      </w:hyperlink>
    </w:p>
    <w:p w14:paraId="1B802B4B" w14:textId="77777777" w:rsidR="000D0214" w:rsidRPr="000D0214" w:rsidRDefault="000D0214" w:rsidP="000D0214">
      <w:pPr>
        <w:shd w:val="clear" w:color="auto" w:fill="FFFFFF"/>
        <w:spacing w:after="173"/>
        <w:ind w:left="450" w:hanging="450"/>
        <w:rPr>
          <w:rFonts w:eastAsia="Times New Roman" w:cs="Arial"/>
          <w:color w:val="000000"/>
          <w:sz w:val="21"/>
          <w:szCs w:val="21"/>
          <w:lang w:eastAsia="en-GB"/>
        </w:rPr>
      </w:pPr>
      <w:r w:rsidRPr="000D0214">
        <w:rPr>
          <w:rFonts w:eastAsia="Times New Roman" w:cs="Arial"/>
          <w:color w:val="000000"/>
          <w:sz w:val="21"/>
          <w:szCs w:val="21"/>
          <w:lang w:eastAsia="en-GB"/>
        </w:rPr>
        <w:t xml:space="preserve">3. </w:t>
      </w:r>
      <w:r w:rsidRPr="000D0214">
        <w:rPr>
          <w:rFonts w:eastAsia="Times New Roman" w:cs="Arial"/>
          <w:b/>
          <w:bCs/>
          <w:color w:val="000000"/>
          <w:sz w:val="21"/>
          <w:szCs w:val="21"/>
          <w:lang w:eastAsia="en-GB"/>
        </w:rPr>
        <w:t>Assessment Tools for Intensive Care Unit-Acquired Dysphagia: A Network Meta-Analysis of Diagnostic Accuracy Studies</w:t>
      </w:r>
      <w:r w:rsidRPr="000D0214">
        <w:rPr>
          <w:rFonts w:eastAsia="Times New Roman" w:cs="Arial"/>
          <w:b/>
          <w:bCs/>
          <w:color w:val="000000"/>
          <w:sz w:val="21"/>
          <w:szCs w:val="21"/>
          <w:lang w:eastAsia="en-GB"/>
        </w:rPr>
        <w:br/>
      </w:r>
      <w:r w:rsidRPr="000D0214">
        <w:rPr>
          <w:rFonts w:eastAsia="Times New Roman" w:cs="Arial"/>
          <w:color w:val="000000"/>
          <w:sz w:val="21"/>
          <w:szCs w:val="21"/>
          <w:lang w:eastAsia="en-GB"/>
        </w:rPr>
        <w:br/>
      </w:r>
      <w:r w:rsidRPr="000D0214">
        <w:rPr>
          <w:rFonts w:eastAsia="Times New Roman" w:cs="Arial"/>
          <w:b/>
          <w:bCs/>
          <w:color w:val="000000"/>
          <w:sz w:val="21"/>
          <w:szCs w:val="21"/>
          <w:lang w:eastAsia="en-GB"/>
        </w:rPr>
        <w:t>Authors:</w:t>
      </w:r>
      <w:r w:rsidRPr="000D0214">
        <w:rPr>
          <w:rFonts w:eastAsia="Times New Roman" w:cs="Arial"/>
          <w:color w:val="000000"/>
          <w:sz w:val="21"/>
          <w:szCs w:val="21"/>
          <w:lang w:eastAsia="en-GB"/>
        </w:rPr>
        <w:t xml:space="preserve"> Ge, Lijun;Hu, Yi;Gao, Beiyao;Wang, Siyuan;Hou, Yan;Yang, Haoran;Wang, Peijian and Jiang, Shan</w:t>
      </w:r>
      <w:r w:rsidRPr="000D0214">
        <w:rPr>
          <w:rFonts w:eastAsia="Times New Roman" w:cs="Arial"/>
          <w:color w:val="000000"/>
          <w:sz w:val="21"/>
          <w:szCs w:val="21"/>
          <w:lang w:eastAsia="en-GB"/>
        </w:rPr>
        <w:br/>
      </w:r>
      <w:r w:rsidRPr="000D0214">
        <w:rPr>
          <w:rFonts w:eastAsia="Times New Roman" w:cs="Arial"/>
          <w:color w:val="000000"/>
          <w:sz w:val="21"/>
          <w:szCs w:val="21"/>
          <w:lang w:eastAsia="en-GB"/>
        </w:rPr>
        <w:br/>
      </w:r>
      <w:r w:rsidRPr="000D0214">
        <w:rPr>
          <w:rFonts w:eastAsia="Times New Roman" w:cs="Arial"/>
          <w:b/>
          <w:bCs/>
          <w:color w:val="000000"/>
          <w:sz w:val="21"/>
          <w:szCs w:val="21"/>
          <w:lang w:eastAsia="en-GB"/>
        </w:rPr>
        <w:t xml:space="preserve">Publication Date: </w:t>
      </w:r>
      <w:r w:rsidRPr="000D0214">
        <w:rPr>
          <w:rFonts w:eastAsia="Times New Roman" w:cs="Arial"/>
          <w:color w:val="000000"/>
          <w:sz w:val="21"/>
          <w:szCs w:val="21"/>
          <w:lang w:eastAsia="en-GB"/>
        </w:rPr>
        <w:t>Aug ,2026</w:t>
      </w:r>
      <w:r w:rsidRPr="000D0214">
        <w:rPr>
          <w:rFonts w:eastAsia="Times New Roman" w:cs="Arial"/>
          <w:color w:val="000000"/>
          <w:sz w:val="21"/>
          <w:szCs w:val="21"/>
          <w:lang w:eastAsia="en-GB"/>
        </w:rPr>
        <w:br/>
      </w:r>
      <w:r w:rsidRPr="000D0214">
        <w:rPr>
          <w:rFonts w:eastAsia="Times New Roman" w:cs="Arial"/>
          <w:color w:val="000000"/>
          <w:sz w:val="21"/>
          <w:szCs w:val="21"/>
          <w:lang w:eastAsia="en-GB"/>
        </w:rPr>
        <w:br/>
      </w:r>
      <w:r w:rsidRPr="000D0214">
        <w:rPr>
          <w:rFonts w:eastAsia="Times New Roman" w:cs="Arial"/>
          <w:b/>
          <w:bCs/>
          <w:color w:val="000000"/>
          <w:sz w:val="21"/>
          <w:szCs w:val="21"/>
          <w:lang w:eastAsia="en-GB"/>
        </w:rPr>
        <w:t xml:space="preserve">Journal: </w:t>
      </w:r>
      <w:r w:rsidRPr="000D0214">
        <w:rPr>
          <w:rFonts w:eastAsia="Times New Roman" w:cs="Arial"/>
          <w:color w:val="000000"/>
          <w:sz w:val="21"/>
          <w:szCs w:val="21"/>
          <w:lang w:eastAsia="en-GB"/>
        </w:rPr>
        <w:t>Dysphagia 41(4), pp. 697–707</w:t>
      </w:r>
      <w:r w:rsidRPr="000D0214">
        <w:rPr>
          <w:rFonts w:eastAsia="Times New Roman" w:cs="Arial"/>
          <w:color w:val="000000"/>
          <w:sz w:val="21"/>
          <w:szCs w:val="21"/>
          <w:lang w:eastAsia="en-GB"/>
        </w:rPr>
        <w:br/>
      </w:r>
      <w:r w:rsidRPr="000D0214">
        <w:rPr>
          <w:rFonts w:eastAsia="Times New Roman" w:cs="Arial"/>
          <w:color w:val="000000"/>
          <w:sz w:val="21"/>
          <w:szCs w:val="21"/>
          <w:lang w:eastAsia="en-GB"/>
        </w:rPr>
        <w:br/>
      </w:r>
      <w:r w:rsidRPr="000D0214">
        <w:rPr>
          <w:rFonts w:eastAsia="Times New Roman" w:cs="Arial"/>
          <w:b/>
          <w:bCs/>
          <w:color w:val="000000"/>
          <w:sz w:val="21"/>
          <w:szCs w:val="21"/>
          <w:lang w:eastAsia="en-GB"/>
        </w:rPr>
        <w:t xml:space="preserve">Abstract: </w:t>
      </w:r>
      <w:r w:rsidRPr="000D0214">
        <w:rPr>
          <w:rFonts w:eastAsia="Times New Roman" w:cs="Arial"/>
          <w:color w:val="000000"/>
          <w:sz w:val="21"/>
          <w:szCs w:val="21"/>
          <w:lang w:eastAsia="en-GB"/>
        </w:rPr>
        <w:t xml:space="preserve">This study aims to determine the diagnostic accuracy for assessment tools as compared to reference standard in Intensive Care Unit-Acquired Dysphagia (ICUAD) using network meta-analysis. Comprehensive searches of PubMed, Embase, and Web of Science were conducted from database inception before May 2025 to identify studies on ICUAD assessment tools. Two reviewers independently performed study screening, data extraction, and quality assessment. All analyses were implemented in R version 4.3.2. True positives (TP), False positives (FP), True negatives (TN), False negatives (FN), Sensitivity, Specificity, Positive predictive value (PPV), and Negative predictive value (NPV) were </w:t>
      </w:r>
      <w:r w:rsidRPr="000D0214">
        <w:rPr>
          <w:rFonts w:eastAsia="Times New Roman" w:cs="Arial"/>
          <w:color w:val="000000"/>
          <w:sz w:val="21"/>
          <w:szCs w:val="21"/>
          <w:lang w:eastAsia="en-GB"/>
        </w:rPr>
        <w:lastRenderedPageBreak/>
        <w:t>calculated and used to rank the index tests. Nineteen studies involving 1,167 patients and 11 tools were analyzed. The gold standards, Video Fluoroscopic Swallow Study (VFSS) and Flexible Endoscopic Examination of Swallowing (FEES), showed the highest accuracy. Among bedside tools, the Gugging Swallowing Screen (GUSS) (32.55%) and Standardized Swallowing Assessment (SSA) (42.26%) achieved the best balance of sensitivity and specificity, followed by the modified Volume-Viscosity Swallow Test (mV-VST) (30.07%). GUSS and SSA are practical and reliable bedside tools for ICUAD screening, but cannot replace VFSS or FEES. Further large-scale high-quality prospective studies are needed to confirm their diagnostic performance.</w:t>
      </w:r>
      <w:r w:rsidRPr="000D0214">
        <w:rPr>
          <w:rFonts w:eastAsia="Times New Roman" w:cs="Arial"/>
          <w:color w:val="000000"/>
          <w:sz w:val="21"/>
          <w:szCs w:val="21"/>
          <w:lang w:eastAsia="en-GB"/>
        </w:rPr>
        <w:br/>
      </w:r>
      <w:r w:rsidRPr="000D0214">
        <w:rPr>
          <w:rFonts w:eastAsia="Times New Roman" w:cs="Arial"/>
          <w:color w:val="000000"/>
          <w:sz w:val="21"/>
          <w:szCs w:val="21"/>
          <w:lang w:eastAsia="en-GB"/>
        </w:rPr>
        <w:br/>
        <w:t>Copyright © 2026. The Author(s), under exclusive licence to Springer Science+Business Media, LLC, part of Springer Nature.</w:t>
      </w:r>
      <w:r w:rsidRPr="000D0214">
        <w:rPr>
          <w:rFonts w:eastAsia="Times New Roman" w:cs="Arial"/>
          <w:color w:val="000000"/>
          <w:sz w:val="21"/>
          <w:szCs w:val="21"/>
          <w:lang w:eastAsia="en-GB"/>
        </w:rPr>
        <w:br/>
      </w:r>
      <w:r w:rsidRPr="000D0214">
        <w:rPr>
          <w:rFonts w:eastAsia="Times New Roman" w:cs="Arial"/>
          <w:color w:val="000000"/>
          <w:sz w:val="21"/>
          <w:szCs w:val="21"/>
          <w:lang w:eastAsia="en-GB"/>
        </w:rPr>
        <w:br/>
      </w:r>
      <w:r w:rsidRPr="000D0214">
        <w:rPr>
          <w:rFonts w:eastAsia="Times New Roman" w:cs="Arial"/>
          <w:b/>
          <w:bCs/>
          <w:color w:val="000000"/>
          <w:sz w:val="21"/>
          <w:szCs w:val="21"/>
          <w:lang w:eastAsia="en-GB"/>
        </w:rPr>
        <w:t xml:space="preserve">Access or request full text: </w:t>
      </w:r>
      <w:hyperlink r:id="rId57" w:tgtFrame="_blank" w:history="1">
        <w:r w:rsidRPr="000D0214">
          <w:rPr>
            <w:rFonts w:eastAsia="Times New Roman" w:cs="Arial"/>
            <w:color w:val="0066CC"/>
            <w:sz w:val="21"/>
            <w:szCs w:val="21"/>
            <w:lang w:eastAsia="en-GB"/>
          </w:rPr>
          <w:t>https://libkey.io/10.1007/s00455-026-10928-5</w:t>
        </w:r>
      </w:hyperlink>
    </w:p>
    <w:p w14:paraId="1F09ACCC" w14:textId="22D87159" w:rsidR="000D0214" w:rsidRPr="000D0214" w:rsidRDefault="000D0214" w:rsidP="000D0214">
      <w:pPr>
        <w:shd w:val="clear" w:color="auto" w:fill="FFFFFF"/>
        <w:spacing w:after="173"/>
        <w:ind w:left="450" w:hanging="450"/>
        <w:rPr>
          <w:rFonts w:eastAsia="Times New Roman" w:cs="Arial"/>
          <w:color w:val="000000"/>
          <w:sz w:val="21"/>
          <w:szCs w:val="21"/>
          <w:lang w:eastAsia="en-GB"/>
        </w:rPr>
      </w:pPr>
      <w:r w:rsidRPr="000D0214">
        <w:rPr>
          <w:rFonts w:eastAsia="Times New Roman" w:cs="Arial"/>
          <w:color w:val="000000"/>
          <w:sz w:val="21"/>
          <w:szCs w:val="21"/>
          <w:lang w:eastAsia="en-GB"/>
        </w:rPr>
        <w:t xml:space="preserve">4. </w:t>
      </w:r>
      <w:r w:rsidRPr="000D0214">
        <w:rPr>
          <w:rFonts w:eastAsia="Times New Roman" w:cs="Arial"/>
          <w:b/>
          <w:bCs/>
          <w:color w:val="000000"/>
          <w:sz w:val="21"/>
          <w:szCs w:val="21"/>
          <w:lang w:eastAsia="en-GB"/>
        </w:rPr>
        <w:t>Characterizing the Impact of Light Settings on Whiteout Frames during Flexible Endoscopic Evaluation of Swallowing.</w:t>
      </w:r>
      <w:r w:rsidRPr="000D0214">
        <w:rPr>
          <w:rFonts w:eastAsia="Times New Roman" w:cs="Arial"/>
          <w:b/>
          <w:bCs/>
          <w:color w:val="000000"/>
          <w:sz w:val="21"/>
          <w:szCs w:val="21"/>
          <w:lang w:eastAsia="en-GB"/>
        </w:rPr>
        <w:br/>
      </w:r>
      <w:r w:rsidRPr="000D0214">
        <w:rPr>
          <w:rFonts w:eastAsia="Times New Roman" w:cs="Arial"/>
          <w:color w:val="000000"/>
          <w:sz w:val="21"/>
          <w:szCs w:val="21"/>
          <w:lang w:eastAsia="en-GB"/>
        </w:rPr>
        <w:br/>
      </w:r>
      <w:r w:rsidRPr="000D0214">
        <w:rPr>
          <w:rFonts w:eastAsia="Times New Roman" w:cs="Arial"/>
          <w:b/>
          <w:bCs/>
          <w:color w:val="000000"/>
          <w:sz w:val="21"/>
          <w:szCs w:val="21"/>
          <w:lang w:eastAsia="en-GB"/>
        </w:rPr>
        <w:t>Authors:</w:t>
      </w:r>
      <w:r w:rsidRPr="000D0214">
        <w:rPr>
          <w:rFonts w:eastAsia="Times New Roman" w:cs="Arial"/>
          <w:color w:val="000000"/>
          <w:sz w:val="21"/>
          <w:szCs w:val="21"/>
          <w:lang w:eastAsia="en-GB"/>
        </w:rPr>
        <w:t xml:space="preserve"> Karthikeyan, Gayathri and Pisegna, Jessica M.</w:t>
      </w:r>
      <w:r w:rsidRPr="000D0214">
        <w:rPr>
          <w:rFonts w:eastAsia="Times New Roman" w:cs="Arial"/>
          <w:color w:val="000000"/>
          <w:sz w:val="21"/>
          <w:szCs w:val="21"/>
          <w:lang w:eastAsia="en-GB"/>
        </w:rPr>
        <w:br/>
      </w:r>
      <w:r w:rsidRPr="000D0214">
        <w:rPr>
          <w:rFonts w:eastAsia="Times New Roman" w:cs="Arial"/>
          <w:color w:val="000000"/>
          <w:sz w:val="21"/>
          <w:szCs w:val="21"/>
          <w:lang w:eastAsia="en-GB"/>
        </w:rPr>
        <w:br/>
      </w:r>
      <w:r w:rsidRPr="000D0214">
        <w:rPr>
          <w:rFonts w:eastAsia="Times New Roman" w:cs="Arial"/>
          <w:b/>
          <w:bCs/>
          <w:color w:val="000000"/>
          <w:sz w:val="21"/>
          <w:szCs w:val="21"/>
          <w:lang w:eastAsia="en-GB"/>
        </w:rPr>
        <w:t xml:space="preserve">Publication Date: </w:t>
      </w:r>
      <w:r w:rsidRPr="000D0214">
        <w:rPr>
          <w:rFonts w:eastAsia="Times New Roman" w:cs="Arial"/>
          <w:color w:val="000000"/>
          <w:sz w:val="21"/>
          <w:szCs w:val="21"/>
          <w:lang w:eastAsia="en-GB"/>
        </w:rPr>
        <w:t>Aug 25 ,2026</w:t>
      </w:r>
      <w:r w:rsidRPr="000D0214">
        <w:rPr>
          <w:rFonts w:eastAsia="Times New Roman" w:cs="Arial"/>
          <w:color w:val="000000"/>
          <w:sz w:val="21"/>
          <w:szCs w:val="21"/>
          <w:lang w:eastAsia="en-GB"/>
        </w:rPr>
        <w:br/>
      </w:r>
      <w:r w:rsidRPr="000D0214">
        <w:rPr>
          <w:rFonts w:eastAsia="Times New Roman" w:cs="Arial"/>
          <w:color w:val="000000"/>
          <w:sz w:val="21"/>
          <w:szCs w:val="21"/>
          <w:lang w:eastAsia="en-GB"/>
        </w:rPr>
        <w:br/>
      </w:r>
      <w:r w:rsidRPr="000D0214">
        <w:rPr>
          <w:rFonts w:eastAsia="Times New Roman" w:cs="Arial"/>
          <w:b/>
          <w:bCs/>
          <w:color w:val="000000"/>
          <w:sz w:val="21"/>
          <w:szCs w:val="21"/>
          <w:lang w:eastAsia="en-GB"/>
        </w:rPr>
        <w:t xml:space="preserve">Journal: </w:t>
      </w:r>
      <w:r w:rsidRPr="000D0214">
        <w:rPr>
          <w:rFonts w:eastAsia="Times New Roman" w:cs="Arial"/>
          <w:color w:val="000000"/>
          <w:sz w:val="21"/>
          <w:szCs w:val="21"/>
          <w:lang w:eastAsia="en-GB"/>
        </w:rPr>
        <w:t>Folia Phoniatrica Et Logopedica 1</w:t>
      </w:r>
      <w:r w:rsidRPr="000D0214">
        <w:rPr>
          <w:rFonts w:eastAsia="Times New Roman" w:cs="Arial"/>
          <w:color w:val="000000"/>
          <w:sz w:val="21"/>
          <w:szCs w:val="21"/>
          <w:lang w:eastAsia="en-GB"/>
        </w:rPr>
        <w:br/>
      </w:r>
      <w:r w:rsidRPr="000D0214">
        <w:rPr>
          <w:rFonts w:eastAsia="Times New Roman" w:cs="Arial"/>
          <w:b/>
          <w:bCs/>
          <w:color w:val="000000"/>
          <w:sz w:val="21"/>
          <w:szCs w:val="21"/>
          <w:lang w:eastAsia="en-GB"/>
        </w:rPr>
        <w:t>Abstract: INTRODUCTION</w:t>
      </w:r>
      <w:r w:rsidRPr="000D0214">
        <w:rPr>
          <w:rFonts w:eastAsia="Times New Roman" w:cs="Arial"/>
          <w:color w:val="000000"/>
          <w:sz w:val="21"/>
          <w:szCs w:val="21"/>
          <w:lang w:eastAsia="en-GB"/>
        </w:rPr>
        <w:t xml:space="preserve">: This study sought to assess whether an endoscope's light setting influenced the number of flexible endoscopic evaluation of swallowing (FEES) whiteout or pinkout frames in healthy subjects. We hypothesized that the number of whiteout frames during swallows from healthy participants would differ depending on the manual or automatic light setting. </w:t>
      </w:r>
      <w:r w:rsidRPr="000D0214">
        <w:rPr>
          <w:rFonts w:eastAsia="Times New Roman" w:cs="Arial"/>
          <w:b/>
          <w:bCs/>
          <w:color w:val="000000"/>
          <w:sz w:val="21"/>
          <w:szCs w:val="21"/>
          <w:lang w:eastAsia="en-GB"/>
        </w:rPr>
        <w:t>METHODS</w:t>
      </w:r>
      <w:r w:rsidRPr="000D0214">
        <w:rPr>
          <w:rFonts w:eastAsia="Times New Roman" w:cs="Arial"/>
          <w:color w:val="000000"/>
          <w:sz w:val="21"/>
          <w:szCs w:val="21"/>
          <w:lang w:eastAsia="en-GB"/>
        </w:rPr>
        <w:t xml:space="preserve">: Data were collected to assess the effect of Olympus endoscope light settings during FEES from healthy participants. Following a protocol of standard boluses, the light source was alternated between automatic and manual settings. During each swallow, purely white frames ("whiteout") and other hue frames ("pinkout") were counted for each bolus and light setting. A linear mixed-effects model was used to compare automatic and manual light settings while accounting for repeated swallows within participants and adjusting for bolus type. </w:t>
      </w:r>
      <w:r w:rsidRPr="000D0214">
        <w:rPr>
          <w:rFonts w:eastAsia="Times New Roman" w:cs="Arial"/>
          <w:b/>
          <w:bCs/>
          <w:color w:val="000000"/>
          <w:sz w:val="21"/>
          <w:szCs w:val="21"/>
          <w:lang w:eastAsia="en-GB"/>
        </w:rPr>
        <w:t>RESULTS</w:t>
      </w:r>
      <w:r w:rsidRPr="000D0214">
        <w:rPr>
          <w:rFonts w:eastAsia="Times New Roman" w:cs="Arial"/>
          <w:color w:val="000000"/>
          <w:sz w:val="21"/>
          <w:szCs w:val="21"/>
          <w:lang w:eastAsia="en-GB"/>
        </w:rPr>
        <w:t xml:space="preserve">: Retrospective FEES videos from 8 healthy volunteers were used, and 117 swallows were analyzed. In descriptive analyses, the mean number of pure whiteout frames per swallow was 1.50 frames in the automatic setting and 13.97 frames in the manual setting. In the mixed-effects model, pure whiteout frame count was significantly lower in the automatic setting than in the manual setting (adjusted mean scores: 1.45 vs. 13.76 frames; </w:t>
      </w:r>
      <w:r w:rsidRPr="000D0214">
        <w:rPr>
          <w:rFonts w:eastAsia="Times New Roman" w:cs="Arial"/>
          <w:i/>
          <w:iCs/>
          <w:color w:val="000000"/>
          <w:sz w:val="21"/>
          <w:szCs w:val="21"/>
          <w:lang w:eastAsia="en-GB"/>
        </w:rPr>
        <w:t>p</w:t>
      </w:r>
      <w:r w:rsidRPr="000D0214">
        <w:rPr>
          <w:rFonts w:eastAsia="Times New Roman" w:cs="Arial"/>
          <w:color w:val="000000"/>
          <w:sz w:val="21"/>
          <w:szCs w:val="21"/>
          <w:lang w:eastAsia="en-GB"/>
        </w:rPr>
        <w:t xml:space="preserve"> &lt; 0.001). Pinkout frame count showed the opposite pattern and was significantly higher in the automatic setting than in the manual setting (adjusted mean scores: 14.42 vs. 3.26 frames; </w:t>
      </w:r>
      <w:r w:rsidRPr="000D0214">
        <w:rPr>
          <w:rFonts w:eastAsia="Times New Roman" w:cs="Arial"/>
          <w:i/>
          <w:iCs/>
          <w:color w:val="000000"/>
          <w:sz w:val="21"/>
          <w:szCs w:val="21"/>
          <w:lang w:eastAsia="en-GB"/>
        </w:rPr>
        <w:t>p</w:t>
      </w:r>
      <w:r w:rsidRPr="000D0214">
        <w:rPr>
          <w:rFonts w:eastAsia="Times New Roman" w:cs="Arial"/>
          <w:color w:val="000000"/>
          <w:sz w:val="21"/>
          <w:szCs w:val="21"/>
          <w:lang w:eastAsia="en-GB"/>
        </w:rPr>
        <w:t xml:space="preserve"> &lt; 0.001). When whiteout and pinkout frames were combined, there was no significant difference between automatic and manual light settings (adjusted mean scores: 16.17 vs. 16.84 frames; </w:t>
      </w:r>
      <w:r w:rsidRPr="000D0214">
        <w:rPr>
          <w:rFonts w:eastAsia="Times New Roman" w:cs="Arial"/>
          <w:i/>
          <w:iCs/>
          <w:color w:val="000000"/>
          <w:sz w:val="21"/>
          <w:szCs w:val="21"/>
          <w:lang w:eastAsia="en-GB"/>
        </w:rPr>
        <w:t>p</w:t>
      </w:r>
      <w:r w:rsidRPr="000D0214">
        <w:rPr>
          <w:rFonts w:eastAsia="Times New Roman" w:cs="Arial"/>
          <w:color w:val="000000"/>
          <w:sz w:val="21"/>
          <w:szCs w:val="21"/>
          <w:lang w:eastAsia="en-GB"/>
        </w:rPr>
        <w:t xml:space="preserve"> = 0.681). A greater proportion of combined whiteout + pinkout frame counts fell within the expected normative whiteout-duration range under the automatic versus manual light setting (84.8% vs. 81.7%, respectively).</w:t>
      </w:r>
      <w:r>
        <w:rPr>
          <w:rFonts w:eastAsia="Times New Roman" w:cs="Arial"/>
          <w:color w:val="000000"/>
          <w:sz w:val="21"/>
          <w:szCs w:val="21"/>
          <w:lang w:eastAsia="en-GB"/>
        </w:rPr>
        <w:t xml:space="preserve"> </w:t>
      </w:r>
      <w:r w:rsidRPr="000D0214">
        <w:rPr>
          <w:rFonts w:eastAsia="Times New Roman" w:cs="Arial"/>
          <w:b/>
          <w:bCs/>
          <w:color w:val="000000"/>
          <w:sz w:val="21"/>
          <w:szCs w:val="21"/>
          <w:lang w:eastAsia="en-GB"/>
        </w:rPr>
        <w:t>CONCLUSION</w:t>
      </w:r>
      <w:r w:rsidRPr="000D0214">
        <w:rPr>
          <w:rFonts w:eastAsia="Times New Roman" w:cs="Arial"/>
          <w:color w:val="000000"/>
          <w:sz w:val="21"/>
          <w:szCs w:val="21"/>
          <w:lang w:eastAsia="en-GB"/>
        </w:rPr>
        <w:t>: These preliminary findings suggest that endoscopic light settings may influence the appearance and measured frame counts of whiteout and pinkout during FEES. Automatic and manual light settings produced different patterns of pure whiteout and pinkout frames, while combined whiteout + pinkout frame counts were more similar across settings. These findings support the importance of documenting and, when possible, standardizing light and brightness settings in FEES research and clinical reporting.</w:t>
      </w:r>
      <w:r w:rsidRPr="000D0214">
        <w:rPr>
          <w:rFonts w:eastAsia="Times New Roman" w:cs="Arial"/>
          <w:color w:val="000000"/>
          <w:sz w:val="21"/>
          <w:szCs w:val="21"/>
          <w:lang w:eastAsia="en-GB"/>
        </w:rPr>
        <w:br/>
      </w:r>
      <w:r w:rsidRPr="000D0214">
        <w:rPr>
          <w:rFonts w:eastAsia="Times New Roman" w:cs="Arial"/>
          <w:color w:val="000000"/>
          <w:sz w:val="21"/>
          <w:szCs w:val="21"/>
          <w:lang w:eastAsia="en-GB"/>
        </w:rPr>
        <w:br/>
        <w:t>Copyright © The Author(s) 2026. Published by S. Karger AG.</w:t>
      </w:r>
      <w:r w:rsidRPr="000D0214">
        <w:rPr>
          <w:rFonts w:eastAsia="Times New Roman" w:cs="Arial"/>
          <w:color w:val="000000"/>
          <w:sz w:val="21"/>
          <w:szCs w:val="21"/>
          <w:lang w:eastAsia="en-GB"/>
        </w:rPr>
        <w:br/>
      </w:r>
      <w:r w:rsidRPr="000D0214">
        <w:rPr>
          <w:rFonts w:eastAsia="Times New Roman" w:cs="Arial"/>
          <w:color w:val="000000"/>
          <w:sz w:val="21"/>
          <w:szCs w:val="21"/>
          <w:lang w:eastAsia="en-GB"/>
        </w:rPr>
        <w:br/>
      </w:r>
      <w:r w:rsidRPr="000D0214">
        <w:rPr>
          <w:rFonts w:eastAsia="Times New Roman" w:cs="Arial"/>
          <w:b/>
          <w:bCs/>
          <w:color w:val="000000"/>
          <w:sz w:val="21"/>
          <w:szCs w:val="21"/>
          <w:lang w:eastAsia="en-GB"/>
        </w:rPr>
        <w:t xml:space="preserve">Access or request full text: </w:t>
      </w:r>
      <w:hyperlink r:id="rId58" w:tgtFrame="_blank" w:history="1">
        <w:r w:rsidRPr="000D0214">
          <w:rPr>
            <w:rFonts w:eastAsia="Times New Roman" w:cs="Arial"/>
            <w:color w:val="0066CC"/>
            <w:sz w:val="21"/>
            <w:szCs w:val="21"/>
            <w:lang w:eastAsia="en-GB"/>
          </w:rPr>
          <w:t>https://libkey.io/10.1159/fpl/acvag004</w:t>
        </w:r>
      </w:hyperlink>
    </w:p>
    <w:p w14:paraId="5136CBB3" w14:textId="1A5524C0" w:rsidR="000D0214" w:rsidRPr="000D0214" w:rsidRDefault="000D0214" w:rsidP="000D0214">
      <w:pPr>
        <w:shd w:val="clear" w:color="auto" w:fill="FFFFFF"/>
        <w:spacing w:after="173"/>
        <w:ind w:left="450" w:hanging="450"/>
        <w:rPr>
          <w:rFonts w:eastAsia="Times New Roman" w:cs="Arial"/>
          <w:color w:val="000000"/>
          <w:sz w:val="21"/>
          <w:szCs w:val="21"/>
          <w:lang w:eastAsia="en-GB"/>
        </w:rPr>
      </w:pPr>
      <w:r w:rsidRPr="000D0214">
        <w:rPr>
          <w:rFonts w:eastAsia="Times New Roman" w:cs="Arial"/>
          <w:color w:val="000000"/>
          <w:sz w:val="21"/>
          <w:szCs w:val="21"/>
          <w:lang w:eastAsia="en-GB"/>
        </w:rPr>
        <w:lastRenderedPageBreak/>
        <w:t xml:space="preserve">5. </w:t>
      </w:r>
      <w:r w:rsidRPr="000D0214">
        <w:rPr>
          <w:rFonts w:eastAsia="Times New Roman" w:cs="Arial"/>
          <w:b/>
          <w:bCs/>
          <w:color w:val="000000"/>
          <w:sz w:val="21"/>
          <w:szCs w:val="21"/>
          <w:lang w:eastAsia="en-GB"/>
        </w:rPr>
        <w:t>Patient-reported swallowing burden and FEES findings in disease-free oropharyngeal cancer survivors after chemoradiotherapy.</w:t>
      </w:r>
      <w:r w:rsidRPr="000D0214">
        <w:rPr>
          <w:rFonts w:eastAsia="Times New Roman" w:cs="Arial"/>
          <w:b/>
          <w:bCs/>
          <w:color w:val="000000"/>
          <w:sz w:val="21"/>
          <w:szCs w:val="21"/>
          <w:lang w:eastAsia="en-GB"/>
        </w:rPr>
        <w:br/>
      </w:r>
      <w:r w:rsidRPr="000D0214">
        <w:rPr>
          <w:rFonts w:eastAsia="Times New Roman" w:cs="Arial"/>
          <w:color w:val="000000"/>
          <w:sz w:val="21"/>
          <w:szCs w:val="21"/>
          <w:lang w:eastAsia="en-GB"/>
        </w:rPr>
        <w:br/>
      </w:r>
      <w:r w:rsidRPr="000D0214">
        <w:rPr>
          <w:rFonts w:eastAsia="Times New Roman" w:cs="Arial"/>
          <w:b/>
          <w:bCs/>
          <w:color w:val="000000"/>
          <w:sz w:val="21"/>
          <w:szCs w:val="21"/>
          <w:lang w:eastAsia="en-GB"/>
        </w:rPr>
        <w:t>Authors:</w:t>
      </w:r>
      <w:r w:rsidRPr="000D0214">
        <w:rPr>
          <w:rFonts w:eastAsia="Times New Roman" w:cs="Arial"/>
          <w:color w:val="000000"/>
          <w:sz w:val="21"/>
          <w:szCs w:val="21"/>
          <w:lang w:eastAsia="en-GB"/>
        </w:rPr>
        <w:t xml:space="preserve"> Vieira, Daniela Oliveira;Barreira, Sergio;Dinis-Ribeiro, Mario and Monteiro, Eurico</w:t>
      </w:r>
      <w:r w:rsidRPr="000D0214">
        <w:rPr>
          <w:rFonts w:eastAsia="Times New Roman" w:cs="Arial"/>
          <w:color w:val="000000"/>
          <w:sz w:val="21"/>
          <w:szCs w:val="21"/>
          <w:lang w:eastAsia="en-GB"/>
        </w:rPr>
        <w:br/>
      </w:r>
      <w:r w:rsidRPr="000D0214">
        <w:rPr>
          <w:rFonts w:eastAsia="Times New Roman" w:cs="Arial"/>
          <w:color w:val="000000"/>
          <w:sz w:val="21"/>
          <w:szCs w:val="21"/>
          <w:lang w:eastAsia="en-GB"/>
        </w:rPr>
        <w:br/>
      </w:r>
      <w:r w:rsidRPr="000D0214">
        <w:rPr>
          <w:rFonts w:eastAsia="Times New Roman" w:cs="Arial"/>
          <w:b/>
          <w:bCs/>
          <w:color w:val="000000"/>
          <w:sz w:val="21"/>
          <w:szCs w:val="21"/>
          <w:lang w:eastAsia="en-GB"/>
        </w:rPr>
        <w:t xml:space="preserve">Publication Date: </w:t>
      </w:r>
      <w:r w:rsidRPr="000D0214">
        <w:rPr>
          <w:rFonts w:eastAsia="Times New Roman" w:cs="Arial"/>
          <w:color w:val="000000"/>
          <w:sz w:val="21"/>
          <w:szCs w:val="21"/>
          <w:lang w:eastAsia="en-GB"/>
        </w:rPr>
        <w:t>Oct 07 ,2026</w:t>
      </w:r>
      <w:r w:rsidRPr="000D0214">
        <w:rPr>
          <w:rFonts w:eastAsia="Times New Roman" w:cs="Arial"/>
          <w:color w:val="000000"/>
          <w:sz w:val="21"/>
          <w:szCs w:val="21"/>
          <w:lang w:eastAsia="en-GB"/>
        </w:rPr>
        <w:br/>
      </w:r>
      <w:r w:rsidRPr="000D0214">
        <w:rPr>
          <w:rFonts w:eastAsia="Times New Roman" w:cs="Arial"/>
          <w:color w:val="000000"/>
          <w:sz w:val="21"/>
          <w:szCs w:val="21"/>
          <w:lang w:eastAsia="en-GB"/>
        </w:rPr>
        <w:br/>
      </w:r>
      <w:r w:rsidRPr="000D0214">
        <w:rPr>
          <w:rFonts w:eastAsia="Times New Roman" w:cs="Arial"/>
          <w:b/>
          <w:bCs/>
          <w:color w:val="000000"/>
          <w:sz w:val="21"/>
          <w:szCs w:val="21"/>
          <w:lang w:eastAsia="en-GB"/>
        </w:rPr>
        <w:t xml:space="preserve">Journal: </w:t>
      </w:r>
      <w:r w:rsidRPr="000D0214">
        <w:rPr>
          <w:rFonts w:eastAsia="Times New Roman" w:cs="Arial"/>
          <w:color w:val="000000"/>
          <w:sz w:val="21"/>
          <w:szCs w:val="21"/>
          <w:lang w:eastAsia="en-GB"/>
        </w:rPr>
        <w:t>Supportive Care in Cancer 34(10)</w:t>
      </w:r>
      <w:r>
        <w:rPr>
          <w:rFonts w:eastAsia="Times New Roman" w:cs="Arial"/>
          <w:color w:val="000000"/>
          <w:sz w:val="21"/>
          <w:szCs w:val="21"/>
          <w:lang w:eastAsia="en-GB"/>
        </w:rPr>
        <w:br/>
      </w:r>
      <w:r w:rsidRPr="000D0214">
        <w:rPr>
          <w:rFonts w:eastAsia="Times New Roman" w:cs="Arial"/>
          <w:color w:val="000000"/>
          <w:sz w:val="21"/>
          <w:szCs w:val="21"/>
          <w:lang w:eastAsia="en-GB"/>
        </w:rPr>
        <w:br/>
      </w:r>
      <w:r w:rsidRPr="000D0214">
        <w:rPr>
          <w:rFonts w:eastAsia="Times New Roman" w:cs="Arial"/>
          <w:b/>
          <w:bCs/>
          <w:color w:val="000000"/>
          <w:sz w:val="21"/>
          <w:szCs w:val="21"/>
          <w:lang w:eastAsia="en-GB"/>
        </w:rPr>
        <w:t>Abstract: PURPOSE</w:t>
      </w:r>
      <w:r w:rsidRPr="000D0214">
        <w:rPr>
          <w:rFonts w:eastAsia="Times New Roman" w:cs="Arial"/>
          <w:color w:val="000000"/>
          <w:sz w:val="21"/>
          <w:szCs w:val="21"/>
          <w:lang w:eastAsia="en-GB"/>
        </w:rPr>
        <w:t xml:space="preserve">: Oropharyngeal dysphagia is a frequent long-term sequela in survivors of oropharyngeal cancer treated with chemoradiotherapy (CRT), with significant impact on quality of life (QoL). Flexible endoscopic evaluation of swallowing (FEES) provides objective information on swallowing physiology, whereas patient-reported outcome measures (PROMs) capture perceived dysphagia burden. This study explored how FEES findings and PROMs provide complementary information regarding dysphagia in disease-free survivors treated with CRT. </w:t>
      </w:r>
      <w:r w:rsidRPr="000D0214">
        <w:rPr>
          <w:rFonts w:eastAsia="Times New Roman" w:cs="Arial"/>
          <w:b/>
          <w:bCs/>
          <w:color w:val="000000"/>
          <w:sz w:val="21"/>
          <w:szCs w:val="21"/>
          <w:lang w:eastAsia="en-GB"/>
        </w:rPr>
        <w:t>METHODS</w:t>
      </w:r>
      <w:r w:rsidRPr="000D0214">
        <w:rPr>
          <w:rFonts w:eastAsia="Times New Roman" w:cs="Arial"/>
          <w:color w:val="000000"/>
          <w:sz w:val="21"/>
          <w:szCs w:val="21"/>
          <w:lang w:eastAsia="en-GB"/>
        </w:rPr>
        <w:t xml:space="preserve">: A cross-sectional study was conducted in 38 disease-free survivors of oropharyngeal cancer treated with CRT. Swallowing was assessed using FEES, including measures of swallowing safety, efficiency and temporal physiology. Swallowing-related QoL and symptom burden were assessed using the EORTC QLQ-C30, EORTC QLQ-H&amp;N43, and SWAL-QOL questionnaires. Associations between objective and subjective outcomes were explored using correlation and comparative analyses. </w:t>
      </w:r>
      <w:r w:rsidRPr="000D0214">
        <w:rPr>
          <w:rFonts w:eastAsia="Times New Roman" w:cs="Arial"/>
          <w:b/>
          <w:bCs/>
          <w:color w:val="000000"/>
          <w:sz w:val="21"/>
          <w:szCs w:val="21"/>
          <w:lang w:eastAsia="en-GB"/>
        </w:rPr>
        <w:t>RESULTS</w:t>
      </w:r>
      <w:r w:rsidRPr="000D0214">
        <w:rPr>
          <w:rFonts w:eastAsia="Times New Roman" w:cs="Arial"/>
          <w:color w:val="000000"/>
          <w:sz w:val="21"/>
          <w:szCs w:val="21"/>
          <w:lang w:eastAsia="en-GB"/>
        </w:rPr>
        <w:t xml:space="preserve">: FEES identified frequent swallowing impairments, particularly pharyngeal residue, increased number of swallows for solid consistencies and penetration-aspiration events. PROMs also revealed substantial dysphagia-related burden, with the SWAL-QOL identifying the highest proportion of altered results. Associations between FEES findings and QoL domains were observed; however, no consistent one-to-one relationship between physiological impairment and patient-reported burden was identified. </w:t>
      </w:r>
      <w:r w:rsidRPr="000D0214">
        <w:rPr>
          <w:rFonts w:eastAsia="Times New Roman" w:cs="Arial"/>
          <w:b/>
          <w:bCs/>
          <w:color w:val="000000"/>
          <w:sz w:val="21"/>
          <w:szCs w:val="21"/>
          <w:lang w:eastAsia="en-GB"/>
        </w:rPr>
        <w:t>CONCLUSION</w:t>
      </w:r>
      <w:r w:rsidRPr="000D0214">
        <w:rPr>
          <w:rFonts w:eastAsia="Times New Roman" w:cs="Arial"/>
          <w:color w:val="000000"/>
          <w:sz w:val="21"/>
          <w:szCs w:val="21"/>
          <w:lang w:eastAsia="en-GB"/>
        </w:rPr>
        <w:t>: FEES and PROMs capture complementary dimensions of dysphagia in disease-free survivors of oropharyngeal cancer after CRT. FEES identifies physiological swallowing impairments, whereas PROMs reflect the functional and psychosocial impact of dysphagia. Combined use of instrumental and patient-reported assessments may improve supportive care and long-term follow-up in this population.</w:t>
      </w:r>
      <w:r w:rsidRPr="000D0214">
        <w:rPr>
          <w:rFonts w:eastAsia="Times New Roman" w:cs="Arial"/>
          <w:color w:val="000000"/>
          <w:sz w:val="21"/>
          <w:szCs w:val="21"/>
          <w:lang w:eastAsia="en-GB"/>
        </w:rPr>
        <w:br/>
      </w:r>
      <w:r w:rsidRPr="000D0214">
        <w:rPr>
          <w:rFonts w:eastAsia="Times New Roman" w:cs="Arial"/>
          <w:color w:val="000000"/>
          <w:sz w:val="21"/>
          <w:szCs w:val="21"/>
          <w:lang w:eastAsia="en-GB"/>
        </w:rPr>
        <w:br/>
        <w:t>Copyright © 2026. The Author(s), under exclusive licence to Springer-Verlag GmbH Germany, part of Springer Nature.</w:t>
      </w:r>
      <w:r w:rsidRPr="000D0214">
        <w:rPr>
          <w:rFonts w:eastAsia="Times New Roman" w:cs="Arial"/>
          <w:color w:val="000000"/>
          <w:sz w:val="21"/>
          <w:szCs w:val="21"/>
          <w:lang w:eastAsia="en-GB"/>
        </w:rPr>
        <w:br/>
      </w:r>
      <w:r w:rsidRPr="000D0214">
        <w:rPr>
          <w:rFonts w:eastAsia="Times New Roman" w:cs="Arial"/>
          <w:color w:val="000000"/>
          <w:sz w:val="21"/>
          <w:szCs w:val="21"/>
          <w:lang w:eastAsia="en-GB"/>
        </w:rPr>
        <w:br/>
      </w:r>
      <w:r w:rsidRPr="000D0214">
        <w:rPr>
          <w:rFonts w:eastAsia="Times New Roman" w:cs="Arial"/>
          <w:b/>
          <w:bCs/>
          <w:color w:val="000000"/>
          <w:sz w:val="21"/>
          <w:szCs w:val="21"/>
          <w:lang w:eastAsia="en-GB"/>
        </w:rPr>
        <w:t xml:space="preserve">Access or request full text: </w:t>
      </w:r>
      <w:hyperlink r:id="rId59" w:tgtFrame="_blank" w:history="1">
        <w:r w:rsidRPr="000D0214">
          <w:rPr>
            <w:rFonts w:eastAsia="Times New Roman" w:cs="Arial"/>
            <w:color w:val="0066CC"/>
            <w:sz w:val="21"/>
            <w:szCs w:val="21"/>
            <w:lang w:eastAsia="en-GB"/>
          </w:rPr>
          <w:t>https://libkey.io/10.1007/s00520-026-11307-4</w:t>
        </w:r>
      </w:hyperlink>
    </w:p>
    <w:p w14:paraId="494F15CE" w14:textId="3E3177B5" w:rsidR="003E7AE2" w:rsidRDefault="000D0214" w:rsidP="000D0214">
      <w:r w:rsidRPr="000D0214">
        <w:rPr>
          <w:rFonts w:eastAsia="Times New Roman" w:cs="Arial"/>
          <w:color w:val="000000"/>
          <w:sz w:val="21"/>
          <w:szCs w:val="21"/>
          <w:lang w:eastAsia="en-GB"/>
        </w:rPr>
        <w:br/>
      </w:r>
      <w:r w:rsidRPr="000D0214">
        <w:rPr>
          <w:rFonts w:eastAsia="Times New Roman" w:cs="Arial"/>
          <w:i/>
          <w:iCs/>
          <w:color w:val="000000"/>
          <w:sz w:val="21"/>
          <w:szCs w:val="21"/>
          <w:shd w:val="clear" w:color="auto" w:fill="FFFFFF"/>
          <w:lang w:eastAsia="en-GB"/>
        </w:rPr>
        <w:t xml:space="preserve">You will need your </w:t>
      </w:r>
      <w:hyperlink r:id="rId60" w:history="1">
        <w:r w:rsidRPr="000D0214">
          <w:rPr>
            <w:rFonts w:eastAsia="Times New Roman" w:cs="Arial"/>
            <w:i/>
            <w:iCs/>
            <w:color w:val="0066CC"/>
            <w:sz w:val="21"/>
            <w:szCs w:val="21"/>
            <w:lang w:eastAsia="en-GB"/>
          </w:rPr>
          <w:t>NHS OpenAthens account</w:t>
        </w:r>
      </w:hyperlink>
      <w:r w:rsidRPr="000D0214">
        <w:rPr>
          <w:rFonts w:eastAsia="Times New Roman" w:cs="Arial"/>
          <w:i/>
          <w:iCs/>
          <w:color w:val="000000"/>
          <w:sz w:val="21"/>
          <w:szCs w:val="21"/>
          <w:shd w:val="clear" w:color="auto" w:fill="FFFFFF"/>
          <w:lang w:eastAsia="en-GB"/>
        </w:rPr>
        <w:t xml:space="preserve"> to access the full text of licenced content.</w:t>
      </w:r>
      <w:r w:rsidRPr="000D0214">
        <w:rPr>
          <w:rFonts w:eastAsia="Times New Roman" w:cs="Arial"/>
          <w:color w:val="000000"/>
          <w:sz w:val="21"/>
          <w:szCs w:val="21"/>
          <w:lang w:eastAsia="en-GB"/>
        </w:rPr>
        <w:br/>
      </w:r>
      <w:r w:rsidRPr="000D0214">
        <w:rPr>
          <w:rFonts w:eastAsia="Times New Roman" w:cs="Arial"/>
          <w:i/>
          <w:iCs/>
          <w:color w:val="000000"/>
          <w:sz w:val="21"/>
          <w:szCs w:val="21"/>
          <w:shd w:val="clear" w:color="auto" w:fill="FFFFFF"/>
          <w:lang w:eastAsia="en-GB"/>
        </w:rPr>
        <w:t>This service is provided to the NHS in England by NHSE Workforce, Training &amp; Education.</w:t>
      </w:r>
    </w:p>
    <w:p w14:paraId="7A044AE9" w14:textId="77777777" w:rsidR="003E7AE2" w:rsidRPr="003E7AE2" w:rsidRDefault="003E7AE2" w:rsidP="003E7AE2">
      <w:pPr>
        <w:pStyle w:val="Heading1"/>
      </w:pPr>
      <w:bookmarkStart w:id="5" w:name="_Toc242972424"/>
      <w:r>
        <w:t>Neurorehabilitation</w:t>
      </w:r>
      <w:bookmarkEnd w:id="5"/>
    </w:p>
    <w:p w14:paraId="0DD4430F" w14:textId="4AED661C" w:rsidR="008010F9" w:rsidRPr="008010F9" w:rsidRDefault="008010F9" w:rsidP="008010F9">
      <w:pPr>
        <w:shd w:val="clear" w:color="auto" w:fill="FFFFFF"/>
        <w:spacing w:after="173"/>
        <w:ind w:left="450" w:hanging="450"/>
        <w:rPr>
          <w:rFonts w:eastAsia="Times New Roman" w:cs="Arial"/>
          <w:color w:val="000000"/>
          <w:sz w:val="21"/>
          <w:szCs w:val="21"/>
          <w:lang w:eastAsia="en-GB"/>
        </w:rPr>
      </w:pPr>
      <w:r w:rsidRPr="008010F9">
        <w:rPr>
          <w:rFonts w:eastAsia="Times New Roman" w:cs="Arial"/>
          <w:color w:val="000000"/>
          <w:sz w:val="21"/>
          <w:szCs w:val="21"/>
          <w:lang w:eastAsia="en-GB"/>
        </w:rPr>
        <w:t xml:space="preserve">1. </w:t>
      </w:r>
      <w:r w:rsidRPr="008010F9">
        <w:rPr>
          <w:rFonts w:eastAsia="Times New Roman" w:cs="Arial"/>
          <w:b/>
          <w:bCs/>
          <w:color w:val="000000"/>
          <w:sz w:val="21"/>
          <w:szCs w:val="21"/>
          <w:lang w:eastAsia="en-GB"/>
        </w:rPr>
        <w:t>Precision cognitive neurorehabilitation: dose, adaptivity, digital therapeutics and implementation</w:t>
      </w:r>
      <w:r w:rsidRPr="008010F9">
        <w:rPr>
          <w:rFonts w:eastAsia="Times New Roman" w:cs="Arial"/>
          <w:b/>
          <w:bCs/>
          <w:color w:val="000000"/>
          <w:sz w:val="21"/>
          <w:szCs w:val="21"/>
          <w:lang w:eastAsia="en-GB"/>
        </w:rPr>
        <w:br/>
      </w:r>
      <w:r w:rsidRPr="008010F9">
        <w:rPr>
          <w:rFonts w:eastAsia="Times New Roman" w:cs="Arial"/>
          <w:color w:val="000000"/>
          <w:sz w:val="21"/>
          <w:szCs w:val="21"/>
          <w:lang w:eastAsia="en-GB"/>
        </w:rPr>
        <w:br/>
      </w:r>
      <w:r w:rsidRPr="008010F9">
        <w:rPr>
          <w:rFonts w:eastAsia="Times New Roman" w:cs="Arial"/>
          <w:b/>
          <w:bCs/>
          <w:color w:val="000000"/>
          <w:sz w:val="21"/>
          <w:szCs w:val="21"/>
          <w:lang w:eastAsia="en-GB"/>
        </w:rPr>
        <w:t>Authors:</w:t>
      </w:r>
      <w:r w:rsidRPr="008010F9">
        <w:rPr>
          <w:rFonts w:eastAsia="Times New Roman" w:cs="Arial"/>
          <w:color w:val="000000"/>
          <w:sz w:val="21"/>
          <w:szCs w:val="21"/>
          <w:lang w:eastAsia="en-GB"/>
        </w:rPr>
        <w:t xml:space="preserve"> Sander, Florian W.;Sallard, Etienne;Silva, Mauro;Schneider, Laurence;Diserens, Karin;Graf, Christophe;Serino, Andrea and Sokolov, Arseny A.</w:t>
      </w:r>
      <w:r w:rsidRPr="008010F9">
        <w:rPr>
          <w:rFonts w:eastAsia="Times New Roman" w:cs="Arial"/>
          <w:color w:val="000000"/>
          <w:sz w:val="21"/>
          <w:szCs w:val="21"/>
          <w:lang w:eastAsia="en-GB"/>
        </w:rPr>
        <w:br/>
      </w:r>
      <w:r w:rsidRPr="008010F9">
        <w:rPr>
          <w:rFonts w:eastAsia="Times New Roman" w:cs="Arial"/>
          <w:color w:val="000000"/>
          <w:sz w:val="21"/>
          <w:szCs w:val="21"/>
          <w:lang w:eastAsia="en-GB"/>
        </w:rPr>
        <w:br/>
      </w:r>
      <w:r w:rsidRPr="008010F9">
        <w:rPr>
          <w:rFonts w:eastAsia="Times New Roman" w:cs="Arial"/>
          <w:b/>
          <w:bCs/>
          <w:color w:val="000000"/>
          <w:sz w:val="21"/>
          <w:szCs w:val="21"/>
          <w:lang w:eastAsia="en-GB"/>
        </w:rPr>
        <w:t xml:space="preserve">Publication Date: </w:t>
      </w:r>
      <w:r w:rsidRPr="008010F9">
        <w:rPr>
          <w:rFonts w:eastAsia="Times New Roman" w:cs="Arial"/>
          <w:color w:val="000000"/>
          <w:sz w:val="21"/>
          <w:szCs w:val="21"/>
          <w:lang w:eastAsia="en-GB"/>
        </w:rPr>
        <w:t>Oct 04 ,2026</w:t>
      </w:r>
      <w:r w:rsidRPr="008010F9">
        <w:rPr>
          <w:rFonts w:eastAsia="Times New Roman" w:cs="Arial"/>
          <w:color w:val="000000"/>
          <w:sz w:val="21"/>
          <w:szCs w:val="21"/>
          <w:lang w:eastAsia="en-GB"/>
        </w:rPr>
        <w:br/>
      </w:r>
      <w:r w:rsidRPr="008010F9">
        <w:rPr>
          <w:rFonts w:eastAsia="Times New Roman" w:cs="Arial"/>
          <w:color w:val="000000"/>
          <w:sz w:val="21"/>
          <w:szCs w:val="21"/>
          <w:lang w:eastAsia="en-GB"/>
        </w:rPr>
        <w:br/>
      </w:r>
      <w:r w:rsidRPr="008010F9">
        <w:rPr>
          <w:rFonts w:eastAsia="Times New Roman" w:cs="Arial"/>
          <w:b/>
          <w:bCs/>
          <w:color w:val="000000"/>
          <w:sz w:val="21"/>
          <w:szCs w:val="21"/>
          <w:lang w:eastAsia="en-GB"/>
        </w:rPr>
        <w:t xml:space="preserve">Journal: </w:t>
      </w:r>
      <w:r w:rsidRPr="008010F9">
        <w:rPr>
          <w:rFonts w:eastAsia="Times New Roman" w:cs="Arial"/>
          <w:color w:val="000000"/>
          <w:sz w:val="21"/>
          <w:szCs w:val="21"/>
          <w:lang w:eastAsia="en-GB"/>
        </w:rPr>
        <w:t>Expert Review of Neurotherapeutics 1-18</w:t>
      </w:r>
      <w:r>
        <w:rPr>
          <w:rFonts w:eastAsia="Times New Roman" w:cs="Arial"/>
          <w:color w:val="000000"/>
          <w:sz w:val="21"/>
          <w:szCs w:val="21"/>
          <w:lang w:eastAsia="en-GB"/>
        </w:rPr>
        <w:br/>
      </w:r>
      <w:r w:rsidRPr="008010F9">
        <w:rPr>
          <w:rFonts w:eastAsia="Times New Roman" w:cs="Arial"/>
          <w:color w:val="000000"/>
          <w:sz w:val="21"/>
          <w:szCs w:val="21"/>
          <w:lang w:eastAsia="en-GB"/>
        </w:rPr>
        <w:br/>
      </w:r>
      <w:r w:rsidRPr="008010F9">
        <w:rPr>
          <w:rFonts w:eastAsia="Times New Roman" w:cs="Arial"/>
          <w:b/>
          <w:bCs/>
          <w:color w:val="000000"/>
          <w:sz w:val="21"/>
          <w:szCs w:val="21"/>
          <w:lang w:eastAsia="en-GB"/>
        </w:rPr>
        <w:t>Abstract: INTRODUCTION</w:t>
      </w:r>
      <w:r w:rsidRPr="008010F9">
        <w:rPr>
          <w:rFonts w:eastAsia="Times New Roman" w:cs="Arial"/>
          <w:color w:val="000000"/>
          <w:sz w:val="21"/>
          <w:szCs w:val="21"/>
          <w:lang w:eastAsia="en-GB"/>
        </w:rPr>
        <w:t xml:space="preserve">: Cognitive deficits are determinants of long-term disability and socio-professional reintegration across neurological disorders, including stroke, traumatic brain injury, multiple sclerosis, and neurodegenerative diseases. Despite evidence supporting cognitive neurorehabilitation, its implementation remains heterogeneous, and </w:t>
      </w:r>
      <w:r w:rsidRPr="008010F9">
        <w:rPr>
          <w:rFonts w:eastAsia="Times New Roman" w:cs="Arial"/>
          <w:color w:val="000000"/>
          <w:sz w:val="21"/>
          <w:szCs w:val="21"/>
          <w:lang w:eastAsia="en-GB"/>
        </w:rPr>
        <w:lastRenderedPageBreak/>
        <w:t xml:space="preserve">therapeutic parameters are insufficiently defined. </w:t>
      </w:r>
      <w:r w:rsidRPr="008010F9">
        <w:rPr>
          <w:rFonts w:eastAsia="Times New Roman" w:cs="Arial"/>
          <w:b/>
          <w:bCs/>
          <w:color w:val="000000"/>
          <w:sz w:val="21"/>
          <w:szCs w:val="21"/>
          <w:lang w:eastAsia="en-GB"/>
        </w:rPr>
        <w:t>AREAS COVERED</w:t>
      </w:r>
      <w:r w:rsidRPr="008010F9">
        <w:rPr>
          <w:rFonts w:eastAsia="Times New Roman" w:cs="Arial"/>
          <w:color w:val="000000"/>
          <w:sz w:val="21"/>
          <w:szCs w:val="21"/>
          <w:lang w:eastAsia="en-GB"/>
        </w:rPr>
        <w:t xml:space="preserve">: The authors reviewed the published literature from PubMed and Google Scholar from 1 January 2015 to 30 June 2026, supplemented by seminal publications. Clinical trials, systematic reviews, meta-analyses, and observational and proof-of-concept studies were prioritized. This brief narrative review examines restorative and compensatory cognitive neurorehabilitation for deficits of attention, executive functions, language and disorders of consciousness in people after stroke and traumatic brain injury (TBI), older adults, and those with neurological and neurodegenerative conditions, including multiple sclerosis, Alzheimer's and Parkinson's disease. Emphasis is placed on dose, frequency, adaptivity, personalization, and digital and technology-assisted interventions. Methodological challenges include heterogeneity of protocols, limited use of active control conditions, insufficient long-term follow-up, and the gap between cognitive test improvements and meaningful effects on participation. </w:t>
      </w:r>
      <w:r w:rsidRPr="008010F9">
        <w:rPr>
          <w:rFonts w:eastAsia="Times New Roman" w:cs="Arial"/>
          <w:b/>
          <w:bCs/>
          <w:color w:val="000000"/>
          <w:sz w:val="21"/>
          <w:szCs w:val="21"/>
          <w:lang w:eastAsia="en-GB"/>
        </w:rPr>
        <w:t>EXPERT OPINION</w:t>
      </w:r>
      <w:r w:rsidRPr="008010F9">
        <w:rPr>
          <w:rFonts w:eastAsia="Times New Roman" w:cs="Arial"/>
          <w:color w:val="000000"/>
          <w:sz w:val="21"/>
          <w:szCs w:val="21"/>
          <w:lang w:eastAsia="en-GB"/>
        </w:rPr>
        <w:t>: Advancing cognitive neurorehabilitation requires precision-driven approaches integrating digital therapeutics with clinical frameworks. Large-scale pragmatic trials, meaningful endpoints, and implementation strategies across the continuum of care will be essential to transform cognitive neurorehabilitation into a component of neurological practice.</w:t>
      </w:r>
      <w:r w:rsidRPr="008010F9">
        <w:rPr>
          <w:rFonts w:eastAsia="Times New Roman" w:cs="Arial"/>
          <w:color w:val="000000"/>
          <w:sz w:val="21"/>
          <w:szCs w:val="21"/>
          <w:lang w:eastAsia="en-GB"/>
        </w:rPr>
        <w:br/>
      </w:r>
      <w:r w:rsidRPr="008010F9">
        <w:rPr>
          <w:rFonts w:eastAsia="Times New Roman" w:cs="Arial"/>
          <w:color w:val="000000"/>
          <w:sz w:val="21"/>
          <w:szCs w:val="21"/>
          <w:lang w:eastAsia="en-GB"/>
        </w:rPr>
        <w:br/>
      </w:r>
      <w:r w:rsidRPr="008010F9">
        <w:rPr>
          <w:rFonts w:eastAsia="Times New Roman" w:cs="Arial"/>
          <w:b/>
          <w:bCs/>
          <w:color w:val="000000"/>
          <w:sz w:val="21"/>
          <w:szCs w:val="21"/>
          <w:lang w:eastAsia="en-GB"/>
        </w:rPr>
        <w:t xml:space="preserve">Access or request full text: </w:t>
      </w:r>
      <w:hyperlink r:id="rId61" w:tgtFrame="_blank" w:history="1">
        <w:r w:rsidRPr="008010F9">
          <w:rPr>
            <w:rFonts w:eastAsia="Times New Roman" w:cs="Arial"/>
            <w:color w:val="0066CC"/>
            <w:sz w:val="21"/>
            <w:szCs w:val="21"/>
            <w:lang w:eastAsia="en-GB"/>
          </w:rPr>
          <w:t>https://libkey.io/10.1080/14737175.2026.2723909</w:t>
        </w:r>
      </w:hyperlink>
    </w:p>
    <w:p w14:paraId="11BACD00" w14:textId="231D43EF" w:rsidR="00DD6D1E" w:rsidRDefault="008010F9" w:rsidP="008010F9">
      <w:pPr>
        <w:pStyle w:val="Default"/>
        <w:rPr>
          <w:b/>
          <w:bCs/>
          <w:sz w:val="20"/>
          <w:szCs w:val="22"/>
        </w:rPr>
      </w:pPr>
      <w:r w:rsidRPr="008010F9">
        <w:rPr>
          <w:rFonts w:eastAsia="Times New Roman"/>
          <w:sz w:val="21"/>
          <w:szCs w:val="21"/>
          <w:lang w:eastAsia="en-GB"/>
        </w:rPr>
        <w:br/>
      </w:r>
      <w:r w:rsidRPr="008010F9">
        <w:rPr>
          <w:rFonts w:eastAsia="Times New Roman"/>
          <w:i/>
          <w:iCs/>
          <w:sz w:val="21"/>
          <w:szCs w:val="21"/>
          <w:shd w:val="clear" w:color="auto" w:fill="FFFFFF"/>
          <w:lang w:eastAsia="en-GB"/>
        </w:rPr>
        <w:t xml:space="preserve">You will need your </w:t>
      </w:r>
      <w:hyperlink r:id="rId62" w:history="1">
        <w:r w:rsidRPr="008010F9">
          <w:rPr>
            <w:rFonts w:eastAsia="Times New Roman"/>
            <w:i/>
            <w:iCs/>
            <w:color w:val="0066CC"/>
            <w:sz w:val="21"/>
            <w:szCs w:val="21"/>
            <w:lang w:eastAsia="en-GB"/>
          </w:rPr>
          <w:t>NHS OpenAthens account</w:t>
        </w:r>
      </w:hyperlink>
      <w:r w:rsidRPr="008010F9">
        <w:rPr>
          <w:rFonts w:eastAsia="Times New Roman"/>
          <w:i/>
          <w:iCs/>
          <w:sz w:val="21"/>
          <w:szCs w:val="21"/>
          <w:shd w:val="clear" w:color="auto" w:fill="FFFFFF"/>
          <w:lang w:eastAsia="en-GB"/>
        </w:rPr>
        <w:t xml:space="preserve"> to access the full text of licenced content.</w:t>
      </w:r>
      <w:r w:rsidRPr="008010F9">
        <w:rPr>
          <w:rFonts w:eastAsia="Times New Roman"/>
          <w:sz w:val="21"/>
          <w:szCs w:val="21"/>
          <w:lang w:eastAsia="en-GB"/>
        </w:rPr>
        <w:br/>
      </w:r>
      <w:r w:rsidRPr="008010F9">
        <w:rPr>
          <w:rFonts w:eastAsia="Times New Roman"/>
          <w:i/>
          <w:iCs/>
          <w:sz w:val="21"/>
          <w:szCs w:val="21"/>
          <w:shd w:val="clear" w:color="auto" w:fill="FFFFFF"/>
          <w:lang w:eastAsia="en-GB"/>
        </w:rPr>
        <w:t>This service is provided to the NHS in England by NHSE Workforce, Training &amp; Education.</w:t>
      </w:r>
    </w:p>
    <w:p w14:paraId="46573252" w14:textId="77777777" w:rsidR="00DD6D1E" w:rsidRDefault="00DD6D1E" w:rsidP="00DD6D1E">
      <w:pPr>
        <w:pStyle w:val="Default"/>
        <w:rPr>
          <w:b/>
          <w:bCs/>
          <w:sz w:val="20"/>
          <w:szCs w:val="22"/>
        </w:rPr>
      </w:pPr>
    </w:p>
    <w:p w14:paraId="1A324BE8" w14:textId="77777777" w:rsidR="00DD6D1E" w:rsidRPr="00054308" w:rsidRDefault="00DD6D1E" w:rsidP="00DD6D1E">
      <w:pPr>
        <w:pStyle w:val="Default"/>
        <w:rPr>
          <w:sz w:val="20"/>
          <w:szCs w:val="22"/>
        </w:rPr>
      </w:pPr>
      <w:r w:rsidRPr="00054308">
        <w:rPr>
          <w:b/>
          <w:bCs/>
          <w:sz w:val="20"/>
          <w:szCs w:val="22"/>
        </w:rPr>
        <w:t xml:space="preserve">Sources Used: </w:t>
      </w:r>
    </w:p>
    <w:p w14:paraId="1696CE23" w14:textId="1D0DAEDD" w:rsidR="00DD6D1E" w:rsidRPr="00054308" w:rsidRDefault="00DD6D1E" w:rsidP="00DD6D1E">
      <w:pPr>
        <w:pStyle w:val="Default"/>
        <w:rPr>
          <w:sz w:val="20"/>
          <w:szCs w:val="22"/>
        </w:rPr>
      </w:pPr>
      <w:r>
        <w:rPr>
          <w:sz w:val="20"/>
          <w:szCs w:val="22"/>
        </w:rPr>
        <w:t>The following databases we</w:t>
      </w:r>
      <w:r w:rsidRPr="00054308">
        <w:rPr>
          <w:sz w:val="20"/>
          <w:szCs w:val="22"/>
        </w:rPr>
        <w:t>re used in the crea</w:t>
      </w:r>
      <w:r>
        <w:rPr>
          <w:sz w:val="20"/>
          <w:szCs w:val="22"/>
        </w:rPr>
        <w:t xml:space="preserve">tion of this bulletin: </w:t>
      </w:r>
      <w:r w:rsidR="00B634F3">
        <w:rPr>
          <w:sz w:val="20"/>
          <w:szCs w:val="22"/>
        </w:rPr>
        <w:t>MEDLINE</w:t>
      </w:r>
      <w:r w:rsidRPr="00054308">
        <w:rPr>
          <w:sz w:val="20"/>
          <w:szCs w:val="22"/>
        </w:rPr>
        <w:t xml:space="preserve">. </w:t>
      </w:r>
    </w:p>
    <w:p w14:paraId="326ED9CD" w14:textId="77777777" w:rsidR="00DD6D1E" w:rsidRPr="00054308" w:rsidRDefault="00DD6D1E" w:rsidP="00DD6D1E">
      <w:pPr>
        <w:pStyle w:val="Default"/>
        <w:rPr>
          <w:sz w:val="20"/>
          <w:szCs w:val="22"/>
        </w:rPr>
      </w:pPr>
    </w:p>
    <w:p w14:paraId="61A65314" w14:textId="77777777" w:rsidR="00DD6D1E" w:rsidRPr="00054308" w:rsidRDefault="00DD6D1E" w:rsidP="00DD6D1E">
      <w:pPr>
        <w:pStyle w:val="Default"/>
        <w:rPr>
          <w:sz w:val="20"/>
          <w:szCs w:val="22"/>
        </w:rPr>
      </w:pPr>
      <w:r w:rsidRPr="00054308">
        <w:rPr>
          <w:b/>
          <w:bCs/>
          <w:sz w:val="20"/>
          <w:szCs w:val="22"/>
        </w:rPr>
        <w:t xml:space="preserve">Disclaimer </w:t>
      </w:r>
    </w:p>
    <w:p w14:paraId="44CE1CA7" w14:textId="77777777" w:rsidR="00DD6D1E" w:rsidRPr="00054308" w:rsidRDefault="00DD6D1E" w:rsidP="00DD6D1E">
      <w:pPr>
        <w:pStyle w:val="Default"/>
        <w:rPr>
          <w:sz w:val="20"/>
          <w:szCs w:val="22"/>
        </w:rPr>
      </w:pPr>
      <w:r w:rsidRPr="00054308">
        <w:rPr>
          <w:sz w:val="20"/>
          <w:szCs w:val="22"/>
        </w:rPr>
        <w:t xml:space="preserve">Royal United Hospital Bath Healthcare Library will endeavour to use the best, most appropriate and most recent sources available to it, but accepts no liability for the information retrieved, which is subject to the content and accuracy of databases, and the limitations of the search process. The library assumes no liability for the interpretation or application of these results, which are not intended to provide advice or recommendations on patient care. </w:t>
      </w:r>
    </w:p>
    <w:p w14:paraId="322E0C35" w14:textId="77777777" w:rsidR="00DD6D1E" w:rsidRDefault="00DD6D1E"/>
    <w:sectPr w:rsidR="00DD6D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606B05"/>
    <w:multiLevelType w:val="hybridMultilevel"/>
    <w:tmpl w:val="E63086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734666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D1E"/>
    <w:rsid w:val="0002737E"/>
    <w:rsid w:val="000355F8"/>
    <w:rsid w:val="0005114C"/>
    <w:rsid w:val="00056247"/>
    <w:rsid w:val="000A6B97"/>
    <w:rsid w:val="000D0214"/>
    <w:rsid w:val="001128EF"/>
    <w:rsid w:val="00173E0E"/>
    <w:rsid w:val="001C643A"/>
    <w:rsid w:val="0021117F"/>
    <w:rsid w:val="002A45C5"/>
    <w:rsid w:val="002D5DC0"/>
    <w:rsid w:val="003E7AE2"/>
    <w:rsid w:val="00496AE9"/>
    <w:rsid w:val="004F0334"/>
    <w:rsid w:val="0051077C"/>
    <w:rsid w:val="00597049"/>
    <w:rsid w:val="005C41DE"/>
    <w:rsid w:val="005D5391"/>
    <w:rsid w:val="00605C9A"/>
    <w:rsid w:val="00653B13"/>
    <w:rsid w:val="007B49D9"/>
    <w:rsid w:val="008010F9"/>
    <w:rsid w:val="00887A97"/>
    <w:rsid w:val="008B2EBE"/>
    <w:rsid w:val="009057CC"/>
    <w:rsid w:val="00A469D7"/>
    <w:rsid w:val="00B60576"/>
    <w:rsid w:val="00B610E0"/>
    <w:rsid w:val="00B634F3"/>
    <w:rsid w:val="00C04C72"/>
    <w:rsid w:val="00C3303F"/>
    <w:rsid w:val="00C333E4"/>
    <w:rsid w:val="00C676CE"/>
    <w:rsid w:val="00D3468F"/>
    <w:rsid w:val="00D67C1F"/>
    <w:rsid w:val="00DD6D1E"/>
    <w:rsid w:val="00E530FB"/>
    <w:rsid w:val="00E62DDC"/>
    <w:rsid w:val="00F95BB2"/>
    <w:rsid w:val="00FC40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DC955"/>
  <w15:chartTrackingRefBased/>
  <w15:docId w15:val="{73159F7F-958E-47BB-96BF-1C338BDE1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68F"/>
    <w:pPr>
      <w:spacing w:after="0" w:line="240" w:lineRule="auto"/>
    </w:pPr>
    <w:rPr>
      <w:rFonts w:ascii="Arial" w:hAnsi="Arial" w:cs="Calibri"/>
      <w:sz w:val="24"/>
    </w:rPr>
  </w:style>
  <w:style w:type="paragraph" w:styleId="Heading1">
    <w:name w:val="heading 1"/>
    <w:basedOn w:val="Normal"/>
    <w:next w:val="Normal"/>
    <w:link w:val="Heading1Char"/>
    <w:uiPriority w:val="9"/>
    <w:qFormat/>
    <w:rsid w:val="003E7AE2"/>
    <w:pPr>
      <w:keepNext/>
      <w:keepLines/>
      <w:spacing w:before="24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semiHidden/>
    <w:unhideWhenUsed/>
    <w:qFormat/>
    <w:rsid w:val="00887A9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D6D1E"/>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DD6D1E"/>
    <w:pPr>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DD6D1E"/>
    <w:rPr>
      <w:rFonts w:ascii="Arial" w:eastAsiaTheme="majorEastAsia" w:hAnsi="Arial" w:cstheme="majorBidi"/>
      <w:b/>
      <w:spacing w:val="-10"/>
      <w:kern w:val="28"/>
      <w:sz w:val="56"/>
      <w:szCs w:val="56"/>
    </w:rPr>
  </w:style>
  <w:style w:type="character" w:customStyle="1" w:styleId="Heading1Char">
    <w:name w:val="Heading 1 Char"/>
    <w:basedOn w:val="DefaultParagraphFont"/>
    <w:link w:val="Heading1"/>
    <w:uiPriority w:val="9"/>
    <w:rsid w:val="003E7AE2"/>
    <w:rPr>
      <w:rFonts w:ascii="Arial" w:eastAsiaTheme="majorEastAsia" w:hAnsi="Arial" w:cstheme="majorBidi"/>
      <w:b/>
      <w:color w:val="2E74B5" w:themeColor="accent1" w:themeShade="BF"/>
      <w:sz w:val="32"/>
      <w:szCs w:val="32"/>
    </w:rPr>
  </w:style>
  <w:style w:type="paragraph" w:styleId="TOCHeading">
    <w:name w:val="TOC Heading"/>
    <w:basedOn w:val="Heading1"/>
    <w:next w:val="Normal"/>
    <w:uiPriority w:val="39"/>
    <w:unhideWhenUsed/>
    <w:qFormat/>
    <w:rsid w:val="00653B13"/>
    <w:pPr>
      <w:spacing w:line="259" w:lineRule="auto"/>
      <w:outlineLvl w:val="9"/>
    </w:pPr>
    <w:rPr>
      <w:rFonts w:asciiTheme="majorHAnsi" w:hAnsiTheme="majorHAnsi"/>
      <w:b w:val="0"/>
      <w:lang w:val="en-US"/>
    </w:rPr>
  </w:style>
  <w:style w:type="paragraph" w:styleId="TOC1">
    <w:name w:val="toc 1"/>
    <w:basedOn w:val="Normal"/>
    <w:next w:val="Normal"/>
    <w:autoRedefine/>
    <w:uiPriority w:val="39"/>
    <w:unhideWhenUsed/>
    <w:rsid w:val="00653B13"/>
    <w:pPr>
      <w:spacing w:after="100"/>
    </w:pPr>
  </w:style>
  <w:style w:type="character" w:styleId="Hyperlink">
    <w:name w:val="Hyperlink"/>
    <w:basedOn w:val="DefaultParagraphFont"/>
    <w:uiPriority w:val="99"/>
    <w:unhideWhenUsed/>
    <w:rsid w:val="00653B13"/>
    <w:rPr>
      <w:color w:val="0563C1" w:themeColor="hyperlink"/>
      <w:u w:val="single"/>
    </w:rPr>
  </w:style>
  <w:style w:type="character" w:customStyle="1" w:styleId="Heading2Char">
    <w:name w:val="Heading 2 Char"/>
    <w:basedOn w:val="DefaultParagraphFont"/>
    <w:link w:val="Heading2"/>
    <w:uiPriority w:val="9"/>
    <w:rsid w:val="00887A97"/>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887A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bkey.io/10.3390/brainsci16040420" TargetMode="External"/><Relationship Id="rId18" Type="http://schemas.openxmlformats.org/officeDocument/2006/relationships/hyperlink" Target="https://libkey.io/10.1080/09638288.2026.2662096" TargetMode="External"/><Relationship Id="rId26" Type="http://schemas.openxmlformats.org/officeDocument/2006/relationships/hyperlink" Target="https://libkey.io/10.3390/brainsci16090938" TargetMode="External"/><Relationship Id="rId39" Type="http://schemas.openxmlformats.org/officeDocument/2006/relationships/hyperlink" Target="https://libkey.io/10.1159/anm/abmag003" TargetMode="External"/><Relationship Id="rId21" Type="http://schemas.openxmlformats.org/officeDocument/2006/relationships/hyperlink" Target="https://libkey.io/10.2147/TCRM.S597978" TargetMode="External"/><Relationship Id="rId34" Type="http://schemas.openxmlformats.org/officeDocument/2006/relationships/hyperlink" Target="https://libkey.io/10.1044/2026_AJSLP-25-00087" TargetMode="External"/><Relationship Id="rId42" Type="http://schemas.openxmlformats.org/officeDocument/2006/relationships/hyperlink" Target="https://libkey.io/10.1016/j.iccn.2026.104591" TargetMode="External"/><Relationship Id="rId47" Type="http://schemas.openxmlformats.org/officeDocument/2006/relationships/hyperlink" Target="https://libkey.io/10.1177/02692155261487949" TargetMode="External"/><Relationship Id="rId50" Type="http://schemas.openxmlformats.org/officeDocument/2006/relationships/hyperlink" Target="https://libkey.io/10.1111/jan.70749" TargetMode="External"/><Relationship Id="rId55" Type="http://schemas.openxmlformats.org/officeDocument/2006/relationships/hyperlink" Target="https://libkey.io/10.1080/00016489.2026.2728505" TargetMode="External"/><Relationship Id="rId63" Type="http://schemas.openxmlformats.org/officeDocument/2006/relationships/fontTable" Target="fontTable.xml"/><Relationship Id="rId7" Type="http://schemas.openxmlformats.org/officeDocument/2006/relationships/hyperlink" Target="https://libkey.io/10.1186/s40900-026-00914-4" TargetMode="External"/><Relationship Id="rId2" Type="http://schemas.openxmlformats.org/officeDocument/2006/relationships/numbering" Target="numbering.xml"/><Relationship Id="rId16" Type="http://schemas.openxmlformats.org/officeDocument/2006/relationships/hyperlink" Target="https://libkey.io/10.1044/2026_AJSLP-25-00435" TargetMode="External"/><Relationship Id="rId29" Type="http://schemas.openxmlformats.org/officeDocument/2006/relationships/hyperlink" Target="https://libkey.io/10.1080/09638288.2025.2534525" TargetMode="External"/><Relationship Id="rId11" Type="http://schemas.openxmlformats.org/officeDocument/2006/relationships/hyperlink" Target="https://libkey.io/10.1044/2026_JSLHR-26-00120" TargetMode="External"/><Relationship Id="rId24" Type="http://schemas.openxmlformats.org/officeDocument/2006/relationships/hyperlink" Target="https://libkey.io/10.1007/s40120-026-00890-7" TargetMode="External"/><Relationship Id="rId32" Type="http://schemas.openxmlformats.org/officeDocument/2006/relationships/hyperlink" Target="https://libkey.io/10.1016/j.jvoice.2026.06.002" TargetMode="External"/><Relationship Id="rId37" Type="http://schemas.openxmlformats.org/officeDocument/2006/relationships/hyperlink" Target="https://libkey.io/10.1159/000552746" TargetMode="External"/><Relationship Id="rId40" Type="http://schemas.openxmlformats.org/officeDocument/2006/relationships/hyperlink" Target="https://libkey.io/10.1007/s00455-026-11005-7" TargetMode="External"/><Relationship Id="rId45" Type="http://schemas.openxmlformats.org/officeDocument/2006/relationships/hyperlink" Target="https://libkey.io/10.1007/s00192-026-06871-6" TargetMode="External"/><Relationship Id="rId53" Type="http://schemas.openxmlformats.org/officeDocument/2006/relationships/hyperlink" Target="https://libkey.io/10.1109/JBHI.2026.3695144" TargetMode="External"/><Relationship Id="rId58" Type="http://schemas.openxmlformats.org/officeDocument/2006/relationships/hyperlink" Target="https://libkey.io/10.1159/fpl/acvag004" TargetMode="External"/><Relationship Id="rId5" Type="http://schemas.openxmlformats.org/officeDocument/2006/relationships/webSettings" Target="webSettings.xml"/><Relationship Id="rId61" Type="http://schemas.openxmlformats.org/officeDocument/2006/relationships/hyperlink" Target="https://libkey.io/10.1080/14737175.2026.2723909" TargetMode="External"/><Relationship Id="rId19" Type="http://schemas.openxmlformats.org/officeDocument/2006/relationships/hyperlink" Target="https://libkey.io/10.3390/brainsci16090905" TargetMode="External"/><Relationship Id="rId14" Type="http://schemas.openxmlformats.org/officeDocument/2006/relationships/hyperlink" Target="https://libkey.io/10.1002/dad2.70329" TargetMode="External"/><Relationship Id="rId22" Type="http://schemas.openxmlformats.org/officeDocument/2006/relationships/hyperlink" Target="https://libkey.io/10.1080/09638288.2026.2651806" TargetMode="External"/><Relationship Id="rId27" Type="http://schemas.openxmlformats.org/officeDocument/2006/relationships/hyperlink" Target="https://libkey.io/10.1016/j.clinsp.2026.101152" TargetMode="External"/><Relationship Id="rId30" Type="http://schemas.openxmlformats.org/officeDocument/2006/relationships/hyperlink" Target="https://libkey.io/10.1044/2026_AJSLP-25-00375" TargetMode="External"/><Relationship Id="rId35" Type="http://schemas.openxmlformats.org/officeDocument/2006/relationships/hyperlink" Target="https://libkey.io/10.3390/diagnostics16050683" TargetMode="External"/><Relationship Id="rId43" Type="http://schemas.openxmlformats.org/officeDocument/2006/relationships/hyperlink" Target="https://libkey.io/10.1111/joor.70299" TargetMode="External"/><Relationship Id="rId48" Type="http://schemas.openxmlformats.org/officeDocument/2006/relationships/hyperlink" Target="https://libkey.io/10.1002/hed.70407" TargetMode="External"/><Relationship Id="rId56" Type="http://schemas.openxmlformats.org/officeDocument/2006/relationships/hyperlink" Target="https://libkey.io/10.1002/lio2.70470" TargetMode="External"/><Relationship Id="rId64" Type="http://schemas.openxmlformats.org/officeDocument/2006/relationships/theme" Target="theme/theme1.xml"/><Relationship Id="rId8" Type="http://schemas.openxmlformats.org/officeDocument/2006/relationships/hyperlink" Target="https://libkey.io/10.3390/brainsci16060621" TargetMode="External"/><Relationship Id="rId51" Type="http://schemas.openxmlformats.org/officeDocument/2006/relationships/hyperlink" Target="https://libkey.io/10.1007/s00455-026-11003-9" TargetMode="External"/><Relationship Id="rId3" Type="http://schemas.openxmlformats.org/officeDocument/2006/relationships/styles" Target="styles.xml"/><Relationship Id="rId12" Type="http://schemas.openxmlformats.org/officeDocument/2006/relationships/hyperlink" Target="https://libkey.io/10.1080/17549507.2026.2694575" TargetMode="External"/><Relationship Id="rId17" Type="http://schemas.openxmlformats.org/officeDocument/2006/relationships/hyperlink" Target="https://libkey.io/10.1080/02687038.2026.2703146" TargetMode="External"/><Relationship Id="rId25" Type="http://schemas.openxmlformats.org/officeDocument/2006/relationships/hyperlink" Target="https://libkey.io/10.1044/2026_AJSLP-25-00427" TargetMode="External"/><Relationship Id="rId33" Type="http://schemas.openxmlformats.org/officeDocument/2006/relationships/hyperlink" Target="https://doi.org/10.23641/asha.32764596." TargetMode="External"/><Relationship Id="rId38" Type="http://schemas.openxmlformats.org/officeDocument/2006/relationships/hyperlink" Target="https://libkey.io/10.1007/s00455-026-10970-3" TargetMode="External"/><Relationship Id="rId46" Type="http://schemas.openxmlformats.org/officeDocument/2006/relationships/hyperlink" Target="https://libkey.io/10.1111/joor.70322" TargetMode="External"/><Relationship Id="rId59" Type="http://schemas.openxmlformats.org/officeDocument/2006/relationships/hyperlink" Target="https://libkey.io/10.1007/s00520-026-11307-4" TargetMode="External"/><Relationship Id="rId20" Type="http://schemas.openxmlformats.org/officeDocument/2006/relationships/hyperlink" Target="https://libkey.io/10.1007/s10072-026-09335-3" TargetMode="External"/><Relationship Id="rId41" Type="http://schemas.openxmlformats.org/officeDocument/2006/relationships/hyperlink" Target="https://libkey.io/10.1136/svn-2026-005197" TargetMode="External"/><Relationship Id="rId54" Type="http://schemas.openxmlformats.org/officeDocument/2006/relationships/hyperlink" Target="https://openathens.nice.org.uk/" TargetMode="External"/><Relationship Id="rId62" Type="http://schemas.openxmlformats.org/officeDocument/2006/relationships/hyperlink" Target="https://openathens.nice.org.uk/" TargetMode="External"/><Relationship Id="rId1" Type="http://schemas.openxmlformats.org/officeDocument/2006/relationships/customXml" Target="../customXml/item1.xml"/><Relationship Id="rId6" Type="http://schemas.openxmlformats.org/officeDocument/2006/relationships/hyperlink" Target="https://gbr01.safelinks.protection.outlook.com/?url=https%3A%2F%2Fforms.office.com%2Fe%2FHyiSXfDaYV&amp;data=05%7C02%7Cruh-tr.library%40nhs.net%7C2f379cb5e2a347cb023108dd49c9e10f%7C37c354b285b047f5b22207b48d774ee3%7C0%7C0%7C638747853900222040%7CUnknown%7CTWFpbGZsb3d8eyJFbXB0eU1hcGkiOnRydWUsIlYiOiIwLjAuMDAwMCIsIlAiOiJXaW4zMiIsIkFOIjoiTWFpbCIsIldUIjoyfQ%3D%3D%7C0%7C%7C%7C&amp;sdata=vRCRUTP%2BTxSNmofg6hSXz9C9tXw13XOj3jvNGgToK3U%3D&amp;reserved=0" TargetMode="External"/><Relationship Id="rId15" Type="http://schemas.openxmlformats.org/officeDocument/2006/relationships/hyperlink" Target="https://doi.org/10.23641/asha.33230481." TargetMode="External"/><Relationship Id="rId23" Type="http://schemas.openxmlformats.org/officeDocument/2006/relationships/hyperlink" Target="https://libkey.io/10.1080/17549507.2026.2734391" TargetMode="External"/><Relationship Id="rId28" Type="http://schemas.openxmlformats.org/officeDocument/2006/relationships/hyperlink" Target="https://libkey.io/10.1080/17549507.2025.2573342" TargetMode="External"/><Relationship Id="rId36" Type="http://schemas.openxmlformats.org/officeDocument/2006/relationships/hyperlink" Target="https://openathens.nice.org.uk/" TargetMode="External"/><Relationship Id="rId49" Type="http://schemas.openxmlformats.org/officeDocument/2006/relationships/hyperlink" Target="https://libkey.io/10.1002/hed.70352" TargetMode="External"/><Relationship Id="rId57" Type="http://schemas.openxmlformats.org/officeDocument/2006/relationships/hyperlink" Target="https://libkey.io/10.1007/s00455-026-10928-5" TargetMode="External"/><Relationship Id="rId10" Type="http://schemas.openxmlformats.org/officeDocument/2006/relationships/hyperlink" Target="https://doi.org/10.23641/asha.33990859." TargetMode="External"/><Relationship Id="rId31" Type="http://schemas.openxmlformats.org/officeDocument/2006/relationships/hyperlink" Target="https://openathens.nice.org.uk/" TargetMode="External"/><Relationship Id="rId44" Type="http://schemas.openxmlformats.org/officeDocument/2006/relationships/hyperlink" Target="https://libkey.io/10.1016/j.oraloncology.2026.108162" TargetMode="External"/><Relationship Id="rId52" Type="http://schemas.openxmlformats.org/officeDocument/2006/relationships/hyperlink" Target="https://openathens.nice.org.uk/" TargetMode="External"/><Relationship Id="rId60" Type="http://schemas.openxmlformats.org/officeDocument/2006/relationships/hyperlink" Target="https://openathens.nice.org.uk/" TargetMode="External"/><Relationship Id="rId4" Type="http://schemas.openxmlformats.org/officeDocument/2006/relationships/settings" Target="settings.xml"/><Relationship Id="rId9" Type="http://schemas.openxmlformats.org/officeDocument/2006/relationships/hyperlink" Target="https://libkey.io/10.3390/brainsci160201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D07BE-8FC7-403F-A72B-33177A948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32</Pages>
  <Words>15584</Words>
  <Characters>103480</Characters>
  <Application>Microsoft Office Word</Application>
  <DocSecurity>0</DocSecurity>
  <Lines>1847</Lines>
  <Paragraphs>94</Paragraphs>
  <ScaleCrop>false</ScaleCrop>
  <HeadingPairs>
    <vt:vector size="2" baseType="variant">
      <vt:variant>
        <vt:lpstr>Title</vt:lpstr>
      </vt:variant>
      <vt:variant>
        <vt:i4>1</vt:i4>
      </vt:variant>
    </vt:vector>
  </HeadingPairs>
  <TitlesOfParts>
    <vt:vector size="1" baseType="lpstr">
      <vt:lpstr/>
    </vt:vector>
  </TitlesOfParts>
  <Company>Royal United Hospital Bath NHS Trust</Company>
  <LinksUpToDate>false</LinksUpToDate>
  <CharactersWithSpaces>118970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Garces-Bovett, Camila</dc:creator>
  <cp:keywords/>
  <dc:description/>
  <cp:lastModifiedBy>GARCES-BOVETT, Camila (BSW HOSPITALS GROUP - RUH)</cp:lastModifiedBy>
  <cp:revision>19</cp:revision>
  <dcterms:created xsi:type="dcterms:W3CDTF">2026-10-15T13:58:00Z</dcterms:created>
  <dcterms:modified xsi:type="dcterms:W3CDTF">2026-10-16T08:52:00Z</dcterms:modified>
</cp:coreProperties>
</file>